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R4-2412701</w:t>
      </w:r>
      <w:bookmarkStart w:id="150" w:name="_GoBack"/>
      <w:bookmarkEnd w:id="150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Maastricht , NL,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Aug, 2024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8.10.2.1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RF requirement for Intra-band contiguous CA of ATG UE in Rel-19 </w:t>
      </w:r>
      <w:r>
        <w:rPr>
          <w:rFonts w:hint="eastAsia" w:ascii="Arial" w:hAnsi="Arial" w:cs="Arial"/>
          <w:b/>
          <w:sz w:val="24"/>
          <w:szCs w:val="24"/>
          <w:lang w:val="en-US"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RAN#103 meeting, n</w:t>
      </w:r>
      <w:r>
        <w:rPr>
          <w:rFonts w:hint="eastAsia"/>
          <w:sz w:val="20"/>
          <w:szCs w:val="20"/>
          <w:lang w:val="en-US" w:eastAsia="zh-CN"/>
        </w:rPr>
        <w:t>ew WID on Enhancements for Air-to-ground network for NR</w:t>
      </w:r>
      <w:r>
        <w:rPr>
          <w:rFonts w:hint="eastAsia"/>
          <w:lang w:val="en-US" w:eastAsia="zh-CN"/>
        </w:rPr>
        <w:t xml:space="preserve"> has been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expected to start the normative work from this April meeting. In last RAN4 meeting, we have some initial discussions for ATG UE supporting intra-band CA. In this contribution, we would like to share some further views on these remaining issues.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3"/>
              <w:suppressLineNumbers w:val="0"/>
              <w:spacing w:beforeAutospacing="0" w:afterAutospacing="0"/>
              <w:ind w:left="576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eastAsia"/>
              </w:rPr>
              <w:t>I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>s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/>
                <w:color w:val="0070C0"/>
                <w:kern w:val="2"/>
                <w:sz w:val="21"/>
                <w:szCs w:val="22"/>
                <w:u w:val="single"/>
                <w:lang w:val="en-US" w:eastAsia="zh-CN" w:bidi="ar-SA"/>
              </w:rPr>
              <w:t>Issue</w:t>
            </w:r>
            <w:r>
              <w:rPr>
                <w:rFonts w:hint="default" w:ascii="Times New Roman" w:hAnsi="Times New Roman" w:eastAsia="宋体" w:cs="Times New Roman"/>
                <w:b/>
                <w:color w:val="0070C0"/>
                <w:kern w:val="2"/>
                <w:sz w:val="21"/>
                <w:szCs w:val="22"/>
                <w:u w:val="single"/>
                <w:lang w:val="en-US" w:eastAsia="ko-KR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color w:val="0070C0"/>
                <w:kern w:val="2"/>
                <w:sz w:val="21"/>
                <w:szCs w:val="22"/>
                <w:u w:val="single"/>
                <w:lang w:val="en-US" w:eastAsia="zh-CN" w:bidi="ar-SA"/>
              </w:rPr>
              <w:t>2-1-1</w:t>
            </w:r>
            <w:r>
              <w:rPr>
                <w:rFonts w:hint="default" w:ascii="Times New Roman" w:hAnsi="Times New Roman" w:eastAsia="宋体" w:cs="Times New Roman"/>
                <w:b/>
                <w:color w:val="0070C0"/>
                <w:kern w:val="2"/>
                <w:sz w:val="21"/>
                <w:szCs w:val="22"/>
                <w:u w:val="single"/>
                <w:lang w:val="en-US" w:eastAsia="ko-KR" w:bidi="ar-SA"/>
              </w:rPr>
              <w:t xml:space="preserve">: </w:t>
            </w:r>
            <w:r>
              <w:rPr>
                <w:rFonts w:hint="eastAsia" w:ascii="Times New Roman" w:hAnsi="Times New Roman" w:eastAsia="宋体" w:cs="Times New Roman"/>
                <w:b/>
                <w:color w:val="0070C0"/>
                <w:kern w:val="2"/>
                <w:sz w:val="21"/>
                <w:szCs w:val="22"/>
                <w:u w:val="single"/>
                <w:lang w:val="en-US" w:eastAsia="zh-CN" w:bidi="ar-SA"/>
              </w:rPr>
              <w:t>BCS for DL CA_n79C</w:t>
            </w:r>
          </w:p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szCs w:val="24"/>
                <w:lang w:eastAsia="zh-CN"/>
              </w:rPr>
            </w:pPr>
            <w:r>
              <w:rPr>
                <w:rFonts w:hint="default"/>
                <w:szCs w:val="24"/>
                <w:lang w:eastAsia="zh-CN"/>
              </w:rPr>
              <w:t xml:space="preserve">Agreement: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Reuse the existing BCS table for ATG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Clarify that uplink CA is not supported for ATG UE elsewhere for Rel-19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FFS on whether BCS#4 and #5 are not supported for ATG UE for Rel-19</w:t>
            </w:r>
          </w:p>
          <w:p>
            <w:pPr>
              <w:pStyle w:val="36"/>
              <w:keepNext w:val="0"/>
              <w:keepLines w:val="0"/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 w:firstLine="0" w:firstLineChars="0"/>
              <w:textAlignment w:val="auto"/>
              <w:rPr>
                <w:rFonts w:hint="default" w:eastAsia="宋体"/>
                <w:color w:val="0070C0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2-1-2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whether/how to reflect operation band information in spec</w:t>
            </w:r>
          </w:p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szCs w:val="24"/>
                <w:lang w:eastAsia="zh-CN"/>
              </w:rPr>
            </w:pPr>
            <w:r>
              <w:rPr>
                <w:rFonts w:hint="default"/>
                <w:szCs w:val="24"/>
                <w:lang w:eastAsia="zh-CN"/>
              </w:rPr>
              <w:t xml:space="preserve">Agreement: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The information that only DL CA is supported in Rel-19 for ATG can be reflected in the clause of operating band for ATG</w:t>
            </w:r>
          </w:p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eastAsia="ko-KR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>Issue 2-2: ATG Rx requirements applicability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Agreement: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Following requirements needs to be updated for ATG CA compared with TN CA</w:t>
            </w:r>
            <w:r>
              <w:rPr>
                <w:rFonts w:hint="default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Max input level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ACS testing case 2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Following requirements can reuse legacy TN CA requirements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Blocking including in-band and out of band blocking, narrow-band blocking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REFSENSE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Spurious response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Intermodulation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Following requirement is not applicable for ATG CA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 CA Rx Spurious emission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 CA narrow-band blocking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Following single carrier requirement of ATG is enough and no need to define ATG CA specific requirements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diversity characteristics</w:t>
            </w:r>
            <w:r>
              <w:rPr>
                <w:rFonts w:hint="eastAsia"/>
                <w:lang w:val="en-US" w:eastAsia="zh-CN"/>
              </w:rPr>
              <w:t xml:space="preserve"> requirement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2-3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max input level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rFonts w:hint="default"/>
                <w:lang w:eastAsia="zh-CN"/>
              </w:rPr>
              <w:t>greement:</w:t>
            </w:r>
          </w:p>
          <w:p>
            <w:pPr>
              <w:pStyle w:val="47"/>
              <w:suppressLineNumbers w:val="0"/>
              <w:spacing w:beforeAutospacing="0" w:afterAutospacing="0" w:line="280" w:lineRule="atLeast"/>
              <w:ind w:left="0" w:right="0"/>
              <w:rPr>
                <w:rFonts w:hint="default"/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hint="default"/>
                <w:sz w:val="18"/>
                <w:szCs w:val="18"/>
                <w:lang w:val="en-GB" w:eastAsia="en-GB"/>
              </w:rPr>
              <w:t xml:space="preserve">able 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rFonts w:hint="default"/>
                <w:sz w:val="18"/>
                <w:szCs w:val="18"/>
                <w:lang w:val="en-GB" w:eastAsia="en-GB"/>
              </w:rPr>
              <w:t>: Maximum input level for ATG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with CA_n79C</w:t>
            </w:r>
          </w:p>
          <w:tbl>
            <w:tblPr>
              <w:tblStyle w:val="25"/>
              <w:tblW w:w="4998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07"/>
              <w:gridCol w:w="1092"/>
              <w:gridCol w:w="3527"/>
              <w:gridCol w:w="260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88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Rx Parameter</w:t>
                  </w:r>
                </w:p>
              </w:tc>
              <w:tc>
                <w:tcPr>
                  <w:tcW w:w="561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 xml:space="preserve">Units </w:t>
                  </w:r>
                </w:p>
              </w:tc>
              <w:tc>
                <w:tcPr>
                  <w:tcW w:w="314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Theme="minorEastAsia"/>
                      <w:lang w:eastAsia="zh-CN"/>
                    </w:rPr>
                  </w:pPr>
                  <w:r>
                    <w:rPr>
                      <w:rFonts w:hint="default"/>
                    </w:rPr>
                    <w:t>ATG UE Types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88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8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Theme="minorEastAsia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Omni-directional antenna</w:t>
                  </w:r>
                </w:p>
              </w:tc>
              <w:tc>
                <w:tcPr>
                  <w:tcW w:w="133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Antenna array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4" w:hRule="atLeast"/>
                <w:jc w:val="center"/>
              </w:trPr>
              <w:tc>
                <w:tcPr>
                  <w:tcW w:w="1288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default"/>
                      <w:lang w:val="en-US"/>
                    </w:rPr>
                    <w:t>Power in largest transmission bandwidth configuration CC, P</w:t>
                  </w:r>
                  <w:r>
                    <w:rPr>
                      <w:rFonts w:hint="default"/>
                      <w:vertAlign w:val="subscript"/>
                      <w:lang w:val="en-US"/>
                    </w:rPr>
                    <w:t>largest BW</w:t>
                  </w:r>
                </w:p>
              </w:tc>
              <w:tc>
                <w:tcPr>
                  <w:tcW w:w="561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18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Theme="minorEastAsia"/>
                      <w:lang w:eastAsia="zh-CN"/>
                    </w:rPr>
                  </w:pPr>
                  <w:r>
                    <w:rPr>
                      <w:rFonts w:hint="default"/>
                    </w:rPr>
                    <w:t>-</w:t>
                  </w:r>
                  <w:r>
                    <w:rPr>
                      <w:rFonts w:hint="eastAsia" w:eastAsiaTheme="minorEastAsia"/>
                      <w:lang w:eastAsia="zh-CN"/>
                    </w:rPr>
                    <w:t>42</w:t>
                  </w:r>
                  <w:r>
                    <w:rPr>
                      <w:rFonts w:hint="default"/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133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  <w:r>
                    <w:rPr>
                      <w:rFonts w:hint="default"/>
                    </w:rPr>
                    <w:t>-</w:t>
                  </w:r>
                  <w:r>
                    <w:rPr>
                      <w:rFonts w:hint="eastAsia" w:eastAsiaTheme="minorEastAsia"/>
                      <w:lang w:eastAsia="zh-CN"/>
                    </w:rPr>
                    <w:t>30</w:t>
                  </w:r>
                  <w:r>
                    <w:rPr>
                      <w:rFonts w:hint="default"/>
                      <w:vertAlign w:val="superscript"/>
                      <w:lang w:eastAsia="zh-CN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88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81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Theme="minorEastAsia"/>
                      <w:lang w:eastAsia="zh-CN"/>
                    </w:rPr>
                  </w:pPr>
                  <w:r>
                    <w:rPr>
                      <w:rFonts w:hint="default"/>
                      <w:lang w:eastAsia="zh-CN"/>
                    </w:rPr>
                    <w:t>-</w:t>
                  </w:r>
                  <w:r>
                    <w:rPr>
                      <w:rFonts w:hint="eastAsia" w:eastAsiaTheme="minorEastAsia"/>
                      <w:lang w:eastAsia="zh-CN"/>
                    </w:rPr>
                    <w:t>44</w:t>
                  </w:r>
                  <w:r>
                    <w:rPr>
                      <w:rFonts w:hint="default"/>
                      <w:vertAlign w:val="superscript"/>
                      <w:lang w:eastAsia="zh-CN"/>
                    </w:rPr>
                    <w:t>3</w:t>
                  </w:r>
                </w:p>
              </w:tc>
              <w:tc>
                <w:tcPr>
                  <w:tcW w:w="1337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-</w:t>
                  </w:r>
                  <w:r>
                    <w:rPr>
                      <w:rFonts w:hint="eastAsia" w:eastAsiaTheme="minorEastAsia"/>
                      <w:lang w:eastAsia="zh-CN"/>
                    </w:rPr>
                    <w:t>32</w:t>
                  </w:r>
                  <w:r>
                    <w:rPr>
                      <w:rFonts w:hint="default"/>
                      <w:vertAlign w:val="superscript"/>
                      <w:lang w:eastAsia="zh-CN"/>
                    </w:rPr>
                    <w:t>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88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Power in each other CC</w:t>
                  </w:r>
                </w:p>
              </w:tc>
              <w:tc>
                <w:tcPr>
                  <w:tcW w:w="56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3149" w:type="pct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vertAlign w:val="superscrip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P</w:t>
                  </w:r>
                  <w:r>
                    <w:rPr>
                      <w:rFonts w:hint="default"/>
                      <w:vertAlign w:val="subscript"/>
                      <w:lang w:val="en-US"/>
                    </w:rPr>
                    <w:t>largest BW</w:t>
                  </w:r>
                  <w:r>
                    <w:rPr>
                      <w:rFonts w:hint="default"/>
                      <w:lang w:val="en-US" w:eastAsia="zh-CN"/>
                    </w:rPr>
                    <w:t xml:space="preserve"> +10*log{(N</w:t>
                  </w:r>
                  <w:r>
                    <w:rPr>
                      <w:rFonts w:hint="default"/>
                      <w:vertAlign w:val="subscript"/>
                      <w:lang w:val="en-US" w:eastAsia="zh-CN"/>
                    </w:rPr>
                    <w:t>RB,c</w:t>
                  </w:r>
                  <w:r>
                    <w:rPr>
                      <w:rFonts w:hint="default"/>
                      <w:lang w:val="en-US"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val="en-US" w:eastAsia="zh-CN"/>
                    </w:rPr>
                    <w:t>c</w:t>
                  </w:r>
                  <w:r>
                    <w:rPr>
                      <w:rFonts w:hint="default"/>
                      <w:lang w:val="en-US" w:eastAsia="zh-CN"/>
                    </w:rPr>
                    <w:t>)/(N</w:t>
                  </w:r>
                  <w:r>
                    <w:rPr>
                      <w:rFonts w:hint="default"/>
                      <w:vertAlign w:val="subscript"/>
                      <w:lang w:val="en-US" w:eastAsia="zh-CN"/>
                    </w:rPr>
                    <w:t>RB,largest BW</w:t>
                  </w:r>
                  <w:r>
                    <w:rPr>
                      <w:rFonts w:hint="default"/>
                      <w:lang w:val="en-US"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val="en-US" w:eastAsia="zh-CN"/>
                    </w:rPr>
                    <w:t>largest BW</w:t>
                  </w:r>
                  <w:r>
                    <w:rPr>
                      <w:rFonts w:hint="default"/>
                      <w:lang w:val="en-US" w:eastAsia="zh-CN"/>
                    </w:rPr>
                    <w:t>)}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288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</w:t>
                  </w:r>
                  <w:r>
                    <w:rPr>
                      <w:rFonts w:hint="default"/>
                      <w:lang w:val="en-US" w:eastAsia="zh-CN"/>
                    </w:rPr>
                    <w:t>he applicable NR CA Bandwidth Class</w:t>
                  </w:r>
                </w:p>
              </w:tc>
              <w:tc>
                <w:tcPr>
                  <w:tcW w:w="56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eastAsia"/>
                      <w:lang w:eastAsia="zh-CN"/>
                    </w:rPr>
                    <w:t>M</w:t>
                  </w:r>
                  <w:r>
                    <w:rPr>
                      <w:rFonts w:hint="default"/>
                      <w:lang w:eastAsia="zh-CN"/>
                    </w:rPr>
                    <w:t>Hz</w:t>
                  </w:r>
                </w:p>
              </w:tc>
              <w:tc>
                <w:tcPr>
                  <w:tcW w:w="3149" w:type="pct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  <w:b/>
                    </w:rPr>
                    <w:t>C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62" w:hRule="atLeast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NOTE 1: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The transmitter shall be set to 4 dB below P</w:t>
                  </w:r>
                  <w:r>
                    <w:rPr>
                      <w:rFonts w:hint="default"/>
                      <w:vertAlign w:val="subscript"/>
                      <w:lang w:val="en-US"/>
                    </w:rPr>
                    <w:t>CMAX_L,f,c</w:t>
                  </w:r>
                  <w:r>
                    <w:rPr>
                      <w:rFonts w:hint="default"/>
                      <w:lang w:val="en-US"/>
                    </w:rPr>
                    <w:t xml:space="preserve"> at the minimum uplink configuration specified in Table 7.3.2-3 and 7.3F.2-3 for shared spectrum channel access operation with P</w:t>
                  </w:r>
                  <w:r>
                    <w:rPr>
                      <w:rFonts w:hint="default"/>
                      <w:vertAlign w:val="subscript"/>
                      <w:lang w:val="en-US"/>
                    </w:rPr>
                    <w:t>CMAX_L,f,c</w:t>
                  </w:r>
                  <w:r>
                    <w:rPr>
                      <w:rFonts w:hint="default"/>
                      <w:lang w:val="en-US"/>
                    </w:rPr>
                    <w:t xml:space="preserve"> as defined in clause 6.2.4.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/>
                    </w:rPr>
                    <w:t>NOTE 2:</w:t>
                  </w:r>
                  <w:r>
                    <w:rPr>
                      <w:rFonts w:hint="default"/>
                      <w:lang w:val="en-US"/>
                    </w:rPr>
                    <w:tab/>
                  </w:r>
                  <w:r>
                    <w:rPr>
                      <w:rFonts w:hint="default"/>
                      <w:lang w:val="en-US"/>
                    </w:rPr>
                    <w:t>Reference measurement channel is A.3.2.3 or A.3.3.3 for 64 QAM.</w:t>
                  </w:r>
                </w:p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851" w:right="0" w:hanging="851"/>
                    <w:rPr>
                      <w:rFonts w:hint="default"/>
                      <w:b/>
                      <w:szCs w:val="18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</w:rPr>
                    <w:t>NOTE 3:</w:t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>Reference measurement channel is A.3.2.4 or A.3.3.4 for 256 QAM.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>Issue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 2-4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ACS testing parameters for case 2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Agreement: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eastAsia="zh-CN"/>
              </w:rPr>
              <w:t>the principle of TN contiguous CA could be reused</w:t>
            </w:r>
          </w:p>
        </w:tc>
      </w:tr>
    </w:tbl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3"/>
      <w:bookmarkStart w:id="2" w:name="OLE_LINK14"/>
      <w:bookmarkStart w:id="3" w:name="OLE_LINK20"/>
      <w:bookmarkStart w:id="4" w:name="OLE_LINK10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>
      <w:pPr>
        <w:pStyle w:val="57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2.1. BCS for CA_n79C </w:t>
      </w:r>
    </w:p>
    <w:p>
      <w:pPr>
        <w:tabs>
          <w:tab w:val="left" w:pos="2127"/>
        </w:tabs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 for BCS configuration of certain band combination,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up to operator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decision or request. From the practical market perspective, it seems that minimum channel bandwidth to be supported is 40MHz and 10/20/30MHz might be not necessary. In addition, as we know that 70MHz channel bandwidth is somehow optional. if there are no practical market request for 10/20/30MHz and 70MHz channel bandwidth, BCS0 could be used for band combination n79C.</w:t>
      </w:r>
    </w:p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lang w:val="en-US" w:eastAsia="zh-CN"/>
        </w:rPr>
        <w:t>: use BCS0 for band combination n79C if there are no practical market demand for 10/20/30/70MHz channel bandwidth.</w:t>
      </w:r>
    </w:p>
    <w:tbl>
      <w:tblPr>
        <w:tblStyle w:val="2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828"/>
        <w:gridCol w:w="1248"/>
        <w:gridCol w:w="1248"/>
        <w:gridCol w:w="1248"/>
        <w:gridCol w:w="1248"/>
        <w:gridCol w:w="1248"/>
        <w:gridCol w:w="1172"/>
        <w:gridCol w:w="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7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NR CA configuration / 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>NR CA config</w:t>
            </w:r>
          </w:p>
        </w:tc>
        <w:tc>
          <w:tcPr>
            <w:tcW w:w="9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 xml:space="preserve">Uplink CA config 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  <w:lang w:val="en-US"/>
              </w:rPr>
            </w:pPr>
            <w:r>
              <w:rPr>
                <w:rFonts w:hint="default" w:ascii="Helvetica Neue" w:hAnsi="Helvetica Neue"/>
                <w:sz w:val="21"/>
                <w:szCs w:val="21"/>
                <w:lang w:val="en-US"/>
              </w:rPr>
              <w:t>Channel bandwidths for carrier (MHz)</w:t>
            </w:r>
          </w:p>
        </w:tc>
        <w:tc>
          <w:tcPr>
            <w:tcW w:w="13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 xml:space="preserve">Maximum aggregated </w:t>
            </w:r>
            <w:r>
              <w:rPr>
                <w:rFonts w:hint="default" w:ascii="Helvetica Neue" w:hAnsi="Helvetica Neue"/>
                <w:sz w:val="21"/>
                <w:szCs w:val="21"/>
              </w:rPr>
              <w:br w:type="textWrapping"/>
            </w:r>
            <w:r>
              <w:rPr>
                <w:rFonts w:hint="default" w:ascii="Helvetica Neue" w:hAnsi="Helvetica Neue"/>
                <w:sz w:val="21"/>
                <w:szCs w:val="21"/>
              </w:rPr>
              <w:t>bandwidth (MHz)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sz w:val="21"/>
                <w:szCs w:val="21"/>
              </w:rPr>
            </w:pPr>
            <w:r>
              <w:rPr>
                <w:rFonts w:hint="default" w:ascii="Helvetica Neue" w:hAnsi="Helvetica Neue"/>
                <w:sz w:val="21"/>
                <w:szCs w:val="21"/>
              </w:rPr>
              <w:t>BCS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CA_n79C</w:t>
            </w:r>
          </w:p>
        </w:tc>
        <w:tc>
          <w:tcPr>
            <w:tcW w:w="9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  <w:lang w:eastAsia="zh-CN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50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60, 80, 100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200</w:t>
            </w:r>
          </w:p>
        </w:tc>
        <w:tc>
          <w:tcPr>
            <w:tcW w:w="70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60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60, 80, 100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80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80, 100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100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  <w:r>
              <w:rPr>
                <w:rFonts w:hint="default" w:ascii="Helvetica Neue" w:hAnsi="Helvetica Neue"/>
                <w:b w:val="0"/>
                <w:bCs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ascii="Helvetica Neue" w:hAnsi="Helvetica Neue"/>
                <w:b w:val="0"/>
                <w:bCs/>
                <w:sz w:val="20"/>
              </w:rPr>
            </w:pPr>
          </w:p>
        </w:tc>
      </w:tr>
    </w:tbl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</w:p>
    <w:p>
      <w:pPr>
        <w:pStyle w:val="57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2.2. RF requirements for Intra-band CA </w:t>
      </w:r>
    </w:p>
    <w:p>
      <w:pPr>
        <w:tabs>
          <w:tab w:val="left" w:pos="2127"/>
        </w:tabs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section, we provide some initial analysis on the overall requirement for ATG UE supporting intra-band DL CA and also provided the summary of proposals for it. </w:t>
      </w:r>
    </w:p>
    <w:p>
      <w:pPr>
        <w:tabs>
          <w:tab w:val="left" w:pos="2127"/>
        </w:tabs>
        <w:spacing w:after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2. Analysis and summary of proposals for ATG UE supporting intra-band DL CA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The existing RF requirement for intra-band contiguous CA</w:t>
            </w:r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ATG UE supporting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5" w:name="_Toc68231044"/>
            <w:bookmarkStart w:id="6" w:name="_Toc29802971"/>
            <w:bookmarkStart w:id="7" w:name="_Toc69084457"/>
            <w:bookmarkStart w:id="8" w:name="_Toc84413945"/>
            <w:bookmarkStart w:id="9" w:name="_Toc37251487"/>
            <w:bookmarkStart w:id="10" w:name="_Toc21344435"/>
            <w:bookmarkStart w:id="11" w:name="_Toc61373094"/>
            <w:bookmarkStart w:id="12" w:name="_Toc36107713"/>
            <w:bookmarkStart w:id="13" w:name="_Toc76509490"/>
            <w:bookmarkStart w:id="14" w:name="_Toc84405336"/>
            <w:bookmarkStart w:id="15" w:name="_Toc61367711"/>
            <w:bookmarkStart w:id="16" w:name="_Toc83580827"/>
            <w:bookmarkStart w:id="17" w:name="_Toc29802346"/>
            <w:bookmarkStart w:id="18" w:name="_Toc76718480"/>
            <w:bookmarkStart w:id="19" w:name="_Toc45888993"/>
            <w:bookmarkStart w:id="20" w:name="_Toc45888394"/>
            <w:bookmarkStart w:id="21" w:name="_Toc75467468"/>
            <w:bookmarkStart w:id="22" w:name="_Toc29801922"/>
            <w:r>
              <w:rPr>
                <w:rFonts w:hint="default"/>
              </w:rPr>
              <w:t>7.3A.2.1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Reference sensitivity power level for Intra-band contiguous CA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</w:rPr>
              <w:t>Reference sensitivity power level for 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For intra-band contiguous carrier aggregation, the throughput of each component carrier shall be ≥ 95 % of the maximum throughput of the reference measurement channels as specified in Annexes A.2.2.2, A.3.2, and A.3.3 (with one sided dynamic OCNG Pattern OP.1 FDD/TDD for the DL-signal as described in Annex A.5.1.1/A.5.2.1) </w:t>
            </w:r>
            <w:r>
              <w:rPr>
                <w:rFonts w:hint="default"/>
                <w:color w:val="FF0000"/>
              </w:rPr>
              <w:t>with parameters specified in Table 7.3.2-1a, Table 7.3.2-1b, Table 7.3.2-2, and Table 7.3.2-3</w:t>
            </w:r>
            <w:r>
              <w:rPr>
                <w:rFonts w:hint="default"/>
              </w:rPr>
              <w:t>.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For UE(s) supporting one uplink carrier, the uplink configuration of the PCC shall be in accordance with Table 7.3.2-3 and the downlink PCC carrier center frequency shall be configured closer to uplink operating band than any of the downlink SCC center frequency.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3" w:name="_Toc76509530"/>
            <w:bookmarkStart w:id="24" w:name="_Toc84405376"/>
            <w:bookmarkStart w:id="25" w:name="_Toc21344459"/>
            <w:bookmarkStart w:id="26" w:name="_Toc29802996"/>
            <w:bookmarkStart w:id="27" w:name="_Toc29802371"/>
            <w:bookmarkStart w:id="28" w:name="_Toc76718520"/>
            <w:bookmarkStart w:id="29" w:name="_Toc36107738"/>
            <w:bookmarkStart w:id="30" w:name="_Toc45888424"/>
            <w:bookmarkStart w:id="31" w:name="_Toc83580867"/>
            <w:bookmarkStart w:id="32" w:name="_Toc84413985"/>
            <w:bookmarkStart w:id="33" w:name="_Toc69084495"/>
            <w:bookmarkStart w:id="34" w:name="_Toc61367749"/>
            <w:bookmarkStart w:id="35" w:name="_Toc68231082"/>
            <w:bookmarkStart w:id="36" w:name="_Toc45889023"/>
            <w:bookmarkStart w:id="37" w:name="_Toc61373132"/>
            <w:bookmarkStart w:id="38" w:name="_Toc75467508"/>
            <w:bookmarkStart w:id="39" w:name="_Toc29801947"/>
            <w:bookmarkStart w:id="40" w:name="_Toc37251512"/>
            <w:r>
              <w:rPr>
                <w:rFonts w:hint="default"/>
              </w:rPr>
              <w:t>7.4A.1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Maximum input level for Intra-band contiguous CA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</w:rPr>
              <w:t>Maximum input level for 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For intra-band contiguous carrier aggregation maximum input level is defined as the maximum mean power received at the UE antenna port, over the Transmission bandwidth configuration of each CC.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The throughput shall be ≥ 95 % of the maximum throughput of the reference measurement channels as specified in Annexs A.3.2 and A.3.3 (with one sided dynamic OCNG Pattern OP.1 FDD/TDD as described in Annex A.5.1.1/A.5.2.1) with parameters specified in Table 7.4A.1-1 for each component carrier.</w:t>
            </w:r>
          </w:p>
          <w:p>
            <w:pPr>
              <w:pStyle w:val="47"/>
              <w:suppressLineNumbers w:val="0"/>
              <w:spacing w:beforeAutospacing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</w:rPr>
              <w:t>Table 7.4A.1-1: Maximum input level for Intra-band contiguous CA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tbl>
            <w:tblPr>
              <w:tblStyle w:val="2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94"/>
              <w:gridCol w:w="675"/>
              <w:gridCol w:w="935"/>
              <w:gridCol w:w="947"/>
              <w:gridCol w:w="599"/>
              <w:gridCol w:w="3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Rx Parameter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 xml:space="preserve">Units 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NR CA Bandwidth Class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C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eastAsia"/>
                      <w:bCs/>
                      <w:lang w:eastAsia="zh-CN"/>
                    </w:rPr>
                    <w:t>D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5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Power in largest transmission bandwidth configuration CC, P</w:t>
                  </w:r>
                  <w:r>
                    <w:rPr>
                      <w:rFonts w:hint="default"/>
                      <w:vertAlign w:val="subscript"/>
                    </w:rPr>
                    <w:t>largest BW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</w:rPr>
                    <w:t>-</w:t>
                  </w: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42]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2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 xml:space="preserve"> 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[-30] for array antenna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</w:rPr>
                    <w:t>-</w:t>
                  </w: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42]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2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[-30] for array antenna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="宋体"/>
                      <w:highlight w:val="yellow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  <w:lang w:eastAsia="zh-CN"/>
                    </w:rPr>
                    <w:t>-</w:t>
                  </w:r>
                  <w:r>
                    <w:rPr>
                      <w:rFonts w:hint="eastAsia"/>
                      <w:highlight w:val="yellow"/>
                      <w:lang w:val="en-US" w:eastAsia="zh-CN"/>
                    </w:rPr>
                    <w:t>44]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[-32] for array antenna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  <w:lang w:eastAsia="zh-CN"/>
                    </w:rPr>
                    <w:t>-</w:t>
                  </w:r>
                  <w:r>
                    <w:rPr>
                      <w:rFonts w:hint="eastAsia"/>
                      <w:highlight w:val="yellow"/>
                      <w:lang w:val="en-US" w:eastAsia="zh-CN"/>
                    </w:rPr>
                    <w:t>44]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[-32] for array antenna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lang w:val="en-US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jc w:val="left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Power in each other CC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vertAlign w:val="superscript"/>
                    </w:rPr>
                  </w:pPr>
                  <w:r>
                    <w:rPr>
                      <w:rFonts w:hint="default"/>
                    </w:rPr>
                    <w:t>P</w:t>
                  </w:r>
                  <w:r>
                    <w:rPr>
                      <w:rFonts w:hint="default"/>
                      <w:vertAlign w:val="subscript"/>
                    </w:rPr>
                    <w:t>largest BW</w:t>
                  </w:r>
                  <w:r>
                    <w:rPr>
                      <w:rFonts w:hint="default"/>
                      <w:lang w:eastAsia="zh-CN"/>
                    </w:rPr>
                    <w:t xml:space="preserve"> +10*log{(N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RB,c</w:t>
                  </w:r>
                  <w:r>
                    <w:rPr>
                      <w:rFonts w:hint="default"/>
                      <w:lang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c</w:t>
                  </w:r>
                  <w:r>
                    <w:rPr>
                      <w:rFonts w:hint="default"/>
                      <w:lang w:eastAsia="zh-CN"/>
                    </w:rPr>
                    <w:t>)/(N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RB,largest BW</w:t>
                  </w:r>
                  <w:r>
                    <w:rPr>
                      <w:rFonts w:hint="default"/>
                      <w:lang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largest BW</w:t>
                  </w:r>
                  <w:r>
                    <w:rPr>
                      <w:rFonts w:hint="default"/>
                      <w:lang w:eastAsia="zh-CN"/>
                    </w:rPr>
                    <w:t>)}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29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NOTE 1:</w:t>
                  </w:r>
                  <w:r>
                    <w:rPr>
                      <w:rFonts w:hint="default"/>
                    </w:rPr>
                    <w:tab/>
                  </w:r>
                  <w:r>
                    <w:rPr>
                      <w:rFonts w:hint="default"/>
                    </w:rPr>
                    <w:t>The transmitter shall be set to 4 dB below P</w:t>
                  </w:r>
                  <w:r>
                    <w:rPr>
                      <w:rFonts w:hint="default"/>
                      <w:vertAlign w:val="subscript"/>
                    </w:rPr>
                    <w:t>CMAX_L,f,c</w:t>
                  </w:r>
                  <w:r>
                    <w:rPr>
                      <w:rFonts w:hint="default"/>
                    </w:rPr>
                    <w:t xml:space="preserve"> at the minimum uplink configuration specified in Table 7.3.2-3 and </w:t>
                  </w:r>
                  <w:bookmarkStart w:id="41" w:name="_Hlk118195090"/>
                  <w:r>
                    <w:rPr>
                      <w:rFonts w:hint="default"/>
                    </w:rPr>
                    <w:t xml:space="preserve">7.3F.2-3 </w:t>
                  </w:r>
                  <w:bookmarkEnd w:id="41"/>
                  <w:r>
                    <w:rPr>
                      <w:rFonts w:hint="default"/>
                    </w:rPr>
                    <w:t>for shared spectrum channel access operation with P</w:t>
                  </w:r>
                  <w:r>
                    <w:rPr>
                      <w:rFonts w:hint="default"/>
                      <w:vertAlign w:val="subscript"/>
                    </w:rPr>
                    <w:t>CMAX_L,f,c</w:t>
                  </w:r>
                  <w:r>
                    <w:rPr>
                      <w:rFonts w:hint="default"/>
                    </w:rPr>
                    <w:t xml:space="preserve"> as defined in clause 6.2.4.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NOTE 2:</w:t>
                  </w:r>
                  <w:r>
                    <w:rPr>
                      <w:rFonts w:hint="default"/>
                    </w:rPr>
                    <w:tab/>
                  </w:r>
                  <w:r>
                    <w:rPr>
                      <w:rFonts w:hint="default"/>
                    </w:rPr>
                    <w:t>Reference measurement channel is A.3.2.3 or A.3.3.3 for 64 QAM.</w:t>
                  </w:r>
                </w:p>
                <w:p>
                  <w:pPr>
                    <w:keepNext/>
                    <w:keepLines/>
                    <w:suppressLineNumbers w:val="0"/>
                    <w:spacing w:before="0" w:beforeAutospacing="0" w:after="0" w:afterAutospacing="0"/>
                    <w:ind w:left="851" w:right="0" w:hanging="851"/>
                    <w:rPr>
                      <w:rFonts w:hint="default" w:ascii="Arial" w:hAnsi="Arial" w:eastAsiaTheme="minorEastAsia"/>
                      <w:sz w:val="18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</w:rPr>
                    <w:t>NOTE 3:</w:t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>Reference measurement channel is A.3.2.4 or A.3.3.4 for 256 QAM.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left="0" w:right="0" w:firstLine="0"/>
                    <w:rPr>
                      <w:rFonts w:hint="default"/>
                      <w:b/>
                      <w:szCs w:val="18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42" w:name="_Toc61373142"/>
            <w:bookmarkStart w:id="43" w:name="_Toc29803002"/>
            <w:bookmarkStart w:id="44" w:name="_Toc45889033"/>
            <w:bookmarkStart w:id="45" w:name="_Toc45888434"/>
            <w:bookmarkStart w:id="46" w:name="_Toc84405386"/>
            <w:bookmarkStart w:id="47" w:name="_Toc76718530"/>
            <w:bookmarkStart w:id="48" w:name="_Toc76509540"/>
            <w:bookmarkStart w:id="49" w:name="_Toc69084505"/>
            <w:bookmarkStart w:id="50" w:name="_Toc75467518"/>
            <w:bookmarkStart w:id="51" w:name="_Toc84413995"/>
            <w:bookmarkStart w:id="52" w:name="_Toc21344465"/>
            <w:bookmarkStart w:id="53" w:name="_Toc29802377"/>
            <w:bookmarkStart w:id="54" w:name="_Toc36107744"/>
            <w:bookmarkStart w:id="55" w:name="_Toc83580877"/>
            <w:bookmarkStart w:id="56" w:name="_Toc68231092"/>
            <w:bookmarkStart w:id="57" w:name="_Toc29801953"/>
            <w:bookmarkStart w:id="58" w:name="_Toc61367759"/>
            <w:bookmarkStart w:id="59" w:name="_Toc37251518"/>
            <w:r>
              <w:rPr>
                <w:rFonts w:hint="default"/>
              </w:rPr>
              <w:t>7.5A.1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Adjacent channel selectivity for Intra-band contiguous CA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color w:val="FF0000"/>
                <w:lang w:val="en-US" w:eastAsia="zh-CN"/>
              </w:rPr>
              <w:t xml:space="preserve">o follow the existing requirement defined in clause </w:t>
            </w:r>
            <w:r>
              <w:rPr>
                <w:rFonts w:hint="default"/>
                <w:color w:val="FF0000"/>
              </w:rPr>
              <w:t>7.5A.1</w:t>
            </w:r>
            <w:r>
              <w:rPr>
                <w:rFonts w:hint="eastAsia"/>
                <w:color w:val="FF0000"/>
                <w:lang w:val="en-US" w:eastAsia="zh-CN"/>
              </w:rPr>
              <w:t xml:space="preserve"> with the following power to be updated for ATG UE with agreed maximum input power for Case 2 and also scale with wanted signal power level.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420" w:right="0" w:hanging="420"/>
              <w:jc w:val="left"/>
              <w:rPr>
                <w:rFonts w:hint="default"/>
              </w:rPr>
            </w:pPr>
            <w:r>
              <w:rPr>
                <w:rFonts w:hint="default"/>
              </w:rPr>
              <w:t>Pw in Transmission Bandwidth Configuration, per CC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420" w:right="0" w:hanging="42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bCs/>
              </w:rPr>
              <w:t>P</w:t>
            </w:r>
            <w:r>
              <w:rPr>
                <w:rFonts w:hint="default"/>
                <w:bCs/>
                <w:vertAlign w:val="subscript"/>
              </w:rPr>
              <w:t>Interferer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60" w:name="_Toc76718549"/>
            <w:bookmarkStart w:id="61" w:name="_Toc45888450"/>
            <w:bookmarkStart w:id="62" w:name="_Toc61373161"/>
            <w:bookmarkStart w:id="63" w:name="_Toc76509559"/>
            <w:bookmarkStart w:id="64" w:name="_Toc29802389"/>
            <w:bookmarkStart w:id="65" w:name="_Toc83580896"/>
            <w:bookmarkStart w:id="66" w:name="_Toc29801965"/>
            <w:bookmarkStart w:id="67" w:name="_Toc84414014"/>
            <w:bookmarkStart w:id="68" w:name="_Toc36107756"/>
            <w:bookmarkStart w:id="69" w:name="_Toc37251530"/>
            <w:bookmarkStart w:id="70" w:name="_Toc75467537"/>
            <w:bookmarkStart w:id="71" w:name="_Toc69084524"/>
            <w:bookmarkStart w:id="72" w:name="_Toc29803014"/>
            <w:bookmarkStart w:id="73" w:name="_Toc84405405"/>
            <w:bookmarkStart w:id="74" w:name="_Toc21344477"/>
            <w:bookmarkStart w:id="75" w:name="_Toc45889049"/>
            <w:bookmarkStart w:id="76" w:name="_Toc61367778"/>
            <w:bookmarkStart w:id="77" w:name="_Toc68231111"/>
            <w:r>
              <w:rPr>
                <w:rFonts w:hint="default"/>
              </w:rPr>
              <w:t>7.6A.2.1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In-band blocking for Intra-band contiguous CA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7.6A.2.1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78" w:name="_Toc75467541"/>
            <w:bookmarkStart w:id="79" w:name="_Toc21344481"/>
            <w:bookmarkStart w:id="80" w:name="_Toc29802393"/>
            <w:bookmarkStart w:id="81" w:name="_Toc36107760"/>
            <w:bookmarkStart w:id="82" w:name="_Toc37251534"/>
            <w:bookmarkStart w:id="83" w:name="_Toc61367782"/>
            <w:bookmarkStart w:id="84" w:name="_Toc84405409"/>
            <w:bookmarkStart w:id="85" w:name="_Toc45888454"/>
            <w:bookmarkStart w:id="86" w:name="_Toc29801969"/>
            <w:bookmarkStart w:id="87" w:name="_Toc29803018"/>
            <w:bookmarkStart w:id="88" w:name="_Toc76509563"/>
            <w:bookmarkStart w:id="89" w:name="_Toc76718553"/>
            <w:bookmarkStart w:id="90" w:name="_Toc68231115"/>
            <w:bookmarkStart w:id="91" w:name="_Toc84414018"/>
            <w:bookmarkStart w:id="92" w:name="_Toc83580900"/>
            <w:bookmarkStart w:id="93" w:name="_Toc61373165"/>
            <w:bookmarkStart w:id="94" w:name="_Toc45889053"/>
            <w:bookmarkStart w:id="95" w:name="_Toc69084528"/>
            <w:r>
              <w:rPr>
                <w:rFonts w:hint="default"/>
              </w:rPr>
              <w:t>7.6A.3.1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Out-of-band blocking for Intra-band contiguous CA</w:t>
            </w:r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7.6A.3.1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96" w:name="_Toc36107764"/>
            <w:bookmarkStart w:id="97" w:name="_Toc75467545"/>
            <w:bookmarkStart w:id="98" w:name="_Toc76718557"/>
            <w:bookmarkStart w:id="99" w:name="_Toc83580904"/>
            <w:bookmarkStart w:id="100" w:name="_Toc29801973"/>
            <w:bookmarkStart w:id="101" w:name="_Toc29802397"/>
            <w:bookmarkStart w:id="102" w:name="_Toc29803022"/>
            <w:bookmarkStart w:id="103" w:name="_Toc84414022"/>
            <w:bookmarkStart w:id="104" w:name="_Toc45888458"/>
            <w:bookmarkStart w:id="105" w:name="_Toc37251538"/>
            <w:bookmarkStart w:id="106" w:name="_Toc84405413"/>
            <w:bookmarkStart w:id="107" w:name="_Toc45889057"/>
            <w:bookmarkStart w:id="108" w:name="_Toc61367786"/>
            <w:bookmarkStart w:id="109" w:name="_Toc69084532"/>
            <w:bookmarkStart w:id="110" w:name="_Toc21344485"/>
            <w:bookmarkStart w:id="111" w:name="_Toc61373169"/>
            <w:bookmarkStart w:id="112" w:name="_Toc68231119"/>
            <w:bookmarkStart w:id="113" w:name="_Toc76509567"/>
            <w:r>
              <w:rPr>
                <w:rFonts w:hint="default"/>
              </w:rPr>
              <w:t>7.6A.4.1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Narrow band blocking for Intra-band contiguous CA</w:t>
            </w:r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14" w:name="_Toc61367814"/>
            <w:bookmarkStart w:id="115" w:name="_Toc76509595"/>
            <w:bookmarkStart w:id="116" w:name="_Toc83580932"/>
            <w:bookmarkStart w:id="117" w:name="_Toc37251549"/>
            <w:bookmarkStart w:id="118" w:name="_Toc29802408"/>
            <w:bookmarkStart w:id="119" w:name="_Toc36107775"/>
            <w:bookmarkStart w:id="120" w:name="_Toc75467573"/>
            <w:bookmarkStart w:id="121" w:name="_Toc29803033"/>
            <w:bookmarkStart w:id="122" w:name="_Toc68231147"/>
            <w:bookmarkStart w:id="123" w:name="_Toc84414050"/>
            <w:bookmarkStart w:id="124" w:name="_Toc76718585"/>
            <w:bookmarkStart w:id="125" w:name="_Toc29801984"/>
            <w:bookmarkStart w:id="126" w:name="_Toc84405441"/>
            <w:bookmarkStart w:id="127" w:name="_Toc45888478"/>
            <w:bookmarkStart w:id="128" w:name="_Toc21344496"/>
            <w:bookmarkStart w:id="129" w:name="_Toc61373197"/>
            <w:bookmarkStart w:id="130" w:name="_Toc69084560"/>
            <w:bookmarkStart w:id="131" w:name="_Toc45889077"/>
            <w:r>
              <w:rPr>
                <w:rFonts w:hint="default"/>
              </w:rPr>
              <w:t>7.7A.1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Spurious response for Intra-band contiguous CA</w:t>
            </w:r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7.7A.1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32" w:name="_Toc84405458"/>
            <w:bookmarkStart w:id="133" w:name="_Toc61373214"/>
            <w:bookmarkStart w:id="134" w:name="_Toc69084577"/>
            <w:bookmarkStart w:id="135" w:name="_Toc29803043"/>
            <w:bookmarkStart w:id="136" w:name="_Toc45888492"/>
            <w:bookmarkStart w:id="137" w:name="_Toc36107785"/>
            <w:bookmarkStart w:id="138" w:name="_Toc68231164"/>
            <w:bookmarkStart w:id="139" w:name="_Toc75467590"/>
            <w:bookmarkStart w:id="140" w:name="_Toc76718602"/>
            <w:bookmarkStart w:id="141" w:name="_Toc37251559"/>
            <w:bookmarkStart w:id="142" w:name="_Toc45889091"/>
            <w:bookmarkStart w:id="143" w:name="_Toc83580949"/>
            <w:bookmarkStart w:id="144" w:name="_Toc84414067"/>
            <w:bookmarkStart w:id="145" w:name="_Toc76509612"/>
            <w:bookmarkStart w:id="146" w:name="_Toc21344506"/>
            <w:bookmarkStart w:id="147" w:name="_Toc61367831"/>
            <w:bookmarkStart w:id="148" w:name="_Toc29802418"/>
            <w:bookmarkStart w:id="149" w:name="_Toc29801994"/>
            <w:r>
              <w:rPr>
                <w:rFonts w:hint="default"/>
              </w:rPr>
              <w:t>7.8A.2.1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Wide band intermodulation for Intra-band contiguous CA</w:t>
            </w:r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7.8A.2.1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snapToGrid/>
        <w:spacing w:after="0"/>
        <w:ind w:leftChars="0"/>
        <w:textAlignment w:val="auto"/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further views on the RF requirements for ATG UE supporting intra-band DL CA and proposals are made as following: </w:t>
      </w:r>
    </w:p>
    <w:p>
      <w:pPr>
        <w:tabs>
          <w:tab w:val="left" w:pos="2127"/>
        </w:tabs>
        <w:spacing w:after="0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lang w:val="en-US" w:eastAsia="zh-CN"/>
        </w:rPr>
        <w:t>: use BCS0 for band combination n79C if there are no practical market demand for 10/20/30/70MHz channel bandwidth.</w:t>
      </w:r>
    </w:p>
    <w:p>
      <w:pPr>
        <w:keepNext w:val="0"/>
        <w:keepLines w:val="0"/>
        <w:widowControl/>
        <w:suppressLineNumbers w:val="0"/>
        <w:spacing w:before="0" w:beforeAutospacing="0" w:afterAutospacing="0"/>
        <w:ind w:left="0" w:right="0"/>
        <w:jc w:val="left"/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2</w:t>
      </w:r>
      <w:r>
        <w:rPr>
          <w:rFonts w:hint="eastAsia"/>
          <w:highlight w:val="none"/>
          <w:lang w:val="en-US" w:eastAsia="zh-CN"/>
        </w:rPr>
        <w:t xml:space="preserve">: for RF requirements for inter-band DL CA, refer to the proposals in table 2.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RP-240839,New WID on Enhancements for Air-to-ground network for NR, Approved.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"http://portal.3gpp.org/ngppapp/DownloadTDoc.aspx?contributionUid=R4-2321919"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R4-2321919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,Big CR for TS 38.101-1 for NR ATG, Agreed.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"http://portal.3gpp.org/ngppapp/DownloadTDoc.aspx?contributionUid=R4-2403864"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R4-2403864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 CR for 38101-1 to update ATG related signaling name, Agreed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"http://10.10.10.10/ftp/RAN/RAN4/Inbox/R4-2406594.zip"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zh-CN"/>
        </w:rPr>
        <w:t>R4-2406594</w:t>
      </w:r>
      <w:r>
        <w:rPr>
          <w:rFonts w:hint="eastAsia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 WF on Rel-19 ATG UE requirements, Approved.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"http://10.10.10.10/ftp/RAN/RAN4/Inbox/R4-2410687.zip"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en-GB"/>
        </w:rPr>
        <w:t>R4-2410687</w:t>
      </w:r>
      <w:r>
        <w:rPr>
          <w:rFonts w:hint="eastAsia" w:eastAsia="宋体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,</w:t>
      </w:r>
      <w:r>
        <w:rPr>
          <w:rFonts w:hint="eastAsia" w:eastAsia="宋体"/>
          <w:sz w:val="20"/>
          <w:szCs w:val="20"/>
          <w:lang w:val="en-US" w:eastAsia="en-GB"/>
        </w:rPr>
        <w:t>WF on Rel-19 ATG UE RF requirements</w:t>
      </w:r>
      <w:r>
        <w:rPr>
          <w:rFonts w:hint="eastAsia" w:eastAsia="宋体"/>
          <w:sz w:val="20"/>
          <w:szCs w:val="20"/>
          <w:lang w:val="en-US" w:eastAsia="zh-CN"/>
        </w:rPr>
        <w:t>, Approved.</w:t>
      </w:r>
    </w:p>
    <w:p>
      <w:pPr>
        <w:pStyle w:val="55"/>
        <w:numPr>
          <w:ilvl w:val="-1"/>
          <w:numId w:val="0"/>
        </w:numPr>
        <w:rPr>
          <w:sz w:val="20"/>
          <w:szCs w:val="20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Sylfae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1F5B83"/>
    <w:multiLevelType w:val="singleLevel"/>
    <w:tmpl w:val="AC1F5B83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57BFB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212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1B1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C90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4FF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3280C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A952B0"/>
    <w:rsid w:val="01B330C9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A2C38"/>
    <w:rsid w:val="021D2604"/>
    <w:rsid w:val="021F7108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E7088"/>
    <w:rsid w:val="0240545F"/>
    <w:rsid w:val="02405857"/>
    <w:rsid w:val="024504DC"/>
    <w:rsid w:val="024C0ED1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34B6B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76945"/>
    <w:rsid w:val="038B3715"/>
    <w:rsid w:val="039568DC"/>
    <w:rsid w:val="0395764C"/>
    <w:rsid w:val="039B69FD"/>
    <w:rsid w:val="03A32E58"/>
    <w:rsid w:val="03AC2829"/>
    <w:rsid w:val="03B728E0"/>
    <w:rsid w:val="03BB44CA"/>
    <w:rsid w:val="03BC2B3B"/>
    <w:rsid w:val="03C0647A"/>
    <w:rsid w:val="03C4766B"/>
    <w:rsid w:val="03C6618A"/>
    <w:rsid w:val="03C80D80"/>
    <w:rsid w:val="03CD06E1"/>
    <w:rsid w:val="03CD6E1F"/>
    <w:rsid w:val="03CF6F0E"/>
    <w:rsid w:val="03D077B2"/>
    <w:rsid w:val="03D2121B"/>
    <w:rsid w:val="03D32BD3"/>
    <w:rsid w:val="03D4427A"/>
    <w:rsid w:val="03E54642"/>
    <w:rsid w:val="03F54B29"/>
    <w:rsid w:val="03F81356"/>
    <w:rsid w:val="03F947E9"/>
    <w:rsid w:val="03FC7097"/>
    <w:rsid w:val="03FF3D36"/>
    <w:rsid w:val="04017264"/>
    <w:rsid w:val="04034FE6"/>
    <w:rsid w:val="040B2442"/>
    <w:rsid w:val="040C386D"/>
    <w:rsid w:val="040C6238"/>
    <w:rsid w:val="040E704D"/>
    <w:rsid w:val="041126FA"/>
    <w:rsid w:val="041875C1"/>
    <w:rsid w:val="04193A43"/>
    <w:rsid w:val="04225784"/>
    <w:rsid w:val="04252816"/>
    <w:rsid w:val="04253E8F"/>
    <w:rsid w:val="042C7CF9"/>
    <w:rsid w:val="04343972"/>
    <w:rsid w:val="043711E5"/>
    <w:rsid w:val="04376B0F"/>
    <w:rsid w:val="04423926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C21862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2362D5"/>
    <w:rsid w:val="062734D4"/>
    <w:rsid w:val="062D742E"/>
    <w:rsid w:val="062E1E31"/>
    <w:rsid w:val="06382A58"/>
    <w:rsid w:val="063F20A9"/>
    <w:rsid w:val="064001EE"/>
    <w:rsid w:val="0646400E"/>
    <w:rsid w:val="06474EFD"/>
    <w:rsid w:val="064767A0"/>
    <w:rsid w:val="06493A8C"/>
    <w:rsid w:val="064A35EA"/>
    <w:rsid w:val="064B521E"/>
    <w:rsid w:val="064B6477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8C6A99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662B4"/>
    <w:rsid w:val="06E85678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44F85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A4016"/>
    <w:rsid w:val="07D34041"/>
    <w:rsid w:val="07D54951"/>
    <w:rsid w:val="07D835FB"/>
    <w:rsid w:val="07D86269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70823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5F0F7F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A6215D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647BE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1173"/>
    <w:rsid w:val="0A0E6073"/>
    <w:rsid w:val="0A145E2C"/>
    <w:rsid w:val="0A1A2E51"/>
    <w:rsid w:val="0A2102B8"/>
    <w:rsid w:val="0A223227"/>
    <w:rsid w:val="0A22459E"/>
    <w:rsid w:val="0A24365D"/>
    <w:rsid w:val="0A25282E"/>
    <w:rsid w:val="0A2705E1"/>
    <w:rsid w:val="0A277574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476DDF"/>
    <w:rsid w:val="0A5056C6"/>
    <w:rsid w:val="0A5060D6"/>
    <w:rsid w:val="0A570EAE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053C7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45932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13DBF"/>
    <w:rsid w:val="0B535E64"/>
    <w:rsid w:val="0B5C18DB"/>
    <w:rsid w:val="0B5C42B3"/>
    <w:rsid w:val="0B5D5C62"/>
    <w:rsid w:val="0B5F215C"/>
    <w:rsid w:val="0B605DE1"/>
    <w:rsid w:val="0B615169"/>
    <w:rsid w:val="0B622E13"/>
    <w:rsid w:val="0B651A68"/>
    <w:rsid w:val="0B6C3D24"/>
    <w:rsid w:val="0B6E5BD3"/>
    <w:rsid w:val="0B717521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407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0268F"/>
    <w:rsid w:val="0C2966B3"/>
    <w:rsid w:val="0C2C1AE5"/>
    <w:rsid w:val="0C37145B"/>
    <w:rsid w:val="0C3946F8"/>
    <w:rsid w:val="0C3C0AB0"/>
    <w:rsid w:val="0C44334A"/>
    <w:rsid w:val="0C455380"/>
    <w:rsid w:val="0C485366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10F87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71AFB"/>
    <w:rsid w:val="0D7969D7"/>
    <w:rsid w:val="0D826C81"/>
    <w:rsid w:val="0D845BD8"/>
    <w:rsid w:val="0D8D2945"/>
    <w:rsid w:val="0D8F1433"/>
    <w:rsid w:val="0D904522"/>
    <w:rsid w:val="0D917146"/>
    <w:rsid w:val="0D972438"/>
    <w:rsid w:val="0D976014"/>
    <w:rsid w:val="0DA060E8"/>
    <w:rsid w:val="0DA21DEB"/>
    <w:rsid w:val="0DA57AAE"/>
    <w:rsid w:val="0DA67711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0FF7"/>
    <w:rsid w:val="0DEE77C3"/>
    <w:rsid w:val="0DF0225F"/>
    <w:rsid w:val="0DF21B12"/>
    <w:rsid w:val="0DF367C2"/>
    <w:rsid w:val="0DF376EB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32F90"/>
    <w:rsid w:val="0E281319"/>
    <w:rsid w:val="0E3217E8"/>
    <w:rsid w:val="0E322DDF"/>
    <w:rsid w:val="0E387AA5"/>
    <w:rsid w:val="0E393B3A"/>
    <w:rsid w:val="0E3F0E9A"/>
    <w:rsid w:val="0E400D03"/>
    <w:rsid w:val="0E406D5C"/>
    <w:rsid w:val="0E485C9B"/>
    <w:rsid w:val="0E4D4B22"/>
    <w:rsid w:val="0E5A04BE"/>
    <w:rsid w:val="0E5E0225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26A16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A7FC1"/>
    <w:rsid w:val="0F4D1918"/>
    <w:rsid w:val="0F502C70"/>
    <w:rsid w:val="0F5075AE"/>
    <w:rsid w:val="0F521719"/>
    <w:rsid w:val="0F571705"/>
    <w:rsid w:val="0F584757"/>
    <w:rsid w:val="0F5F48DA"/>
    <w:rsid w:val="0F5F7241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C4927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BE3D3D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E1111"/>
    <w:rsid w:val="10036C5E"/>
    <w:rsid w:val="10045EE6"/>
    <w:rsid w:val="10071FE5"/>
    <w:rsid w:val="100C1580"/>
    <w:rsid w:val="100D3B17"/>
    <w:rsid w:val="10134323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E43C3F"/>
    <w:rsid w:val="10E80BB5"/>
    <w:rsid w:val="10EC75B1"/>
    <w:rsid w:val="10F33CC1"/>
    <w:rsid w:val="10FA45D2"/>
    <w:rsid w:val="10FD6E37"/>
    <w:rsid w:val="11024527"/>
    <w:rsid w:val="110A4489"/>
    <w:rsid w:val="11150F62"/>
    <w:rsid w:val="111A28E5"/>
    <w:rsid w:val="111D0087"/>
    <w:rsid w:val="111D46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03774"/>
    <w:rsid w:val="11847341"/>
    <w:rsid w:val="118778A0"/>
    <w:rsid w:val="11890CE5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A3974"/>
    <w:rsid w:val="11D96062"/>
    <w:rsid w:val="11DD7754"/>
    <w:rsid w:val="11E048F7"/>
    <w:rsid w:val="11E4369D"/>
    <w:rsid w:val="11E662FC"/>
    <w:rsid w:val="11EA6B41"/>
    <w:rsid w:val="11EE4F27"/>
    <w:rsid w:val="11F0307F"/>
    <w:rsid w:val="11F267E8"/>
    <w:rsid w:val="11F427FC"/>
    <w:rsid w:val="11FA2D7A"/>
    <w:rsid w:val="11FF27F2"/>
    <w:rsid w:val="12066C25"/>
    <w:rsid w:val="120D75E1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1066B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A30B9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624C3"/>
    <w:rsid w:val="141B08A6"/>
    <w:rsid w:val="141D1211"/>
    <w:rsid w:val="14220CA7"/>
    <w:rsid w:val="142E6CAD"/>
    <w:rsid w:val="143802F8"/>
    <w:rsid w:val="14427FD4"/>
    <w:rsid w:val="144442DA"/>
    <w:rsid w:val="144C6544"/>
    <w:rsid w:val="144F7DD8"/>
    <w:rsid w:val="14547289"/>
    <w:rsid w:val="14556F31"/>
    <w:rsid w:val="14601A0D"/>
    <w:rsid w:val="14694C0A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C55F9"/>
    <w:rsid w:val="14AD2764"/>
    <w:rsid w:val="14B227C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32BD3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A777B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D2C3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C483C"/>
    <w:rsid w:val="168E29CE"/>
    <w:rsid w:val="168F5C07"/>
    <w:rsid w:val="1695742C"/>
    <w:rsid w:val="169D1595"/>
    <w:rsid w:val="169E2FAE"/>
    <w:rsid w:val="16A65B92"/>
    <w:rsid w:val="16AA56E3"/>
    <w:rsid w:val="16AB6FC8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C78F0"/>
    <w:rsid w:val="16DD48E9"/>
    <w:rsid w:val="16E7220A"/>
    <w:rsid w:val="16E97227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4E4BA9"/>
    <w:rsid w:val="17595246"/>
    <w:rsid w:val="175E4288"/>
    <w:rsid w:val="175F6489"/>
    <w:rsid w:val="17650A34"/>
    <w:rsid w:val="17652ACF"/>
    <w:rsid w:val="176C704A"/>
    <w:rsid w:val="176F708E"/>
    <w:rsid w:val="177653C5"/>
    <w:rsid w:val="17781A92"/>
    <w:rsid w:val="17844C56"/>
    <w:rsid w:val="1792346D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331DAD"/>
    <w:rsid w:val="1834618E"/>
    <w:rsid w:val="18397C4D"/>
    <w:rsid w:val="183E4121"/>
    <w:rsid w:val="183F3DA9"/>
    <w:rsid w:val="184068C1"/>
    <w:rsid w:val="18420253"/>
    <w:rsid w:val="1848540C"/>
    <w:rsid w:val="18524B4C"/>
    <w:rsid w:val="18533B98"/>
    <w:rsid w:val="185546D2"/>
    <w:rsid w:val="18570266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00312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0A3D01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F232D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1660DA"/>
    <w:rsid w:val="1A1F1382"/>
    <w:rsid w:val="1A203F61"/>
    <w:rsid w:val="1A210157"/>
    <w:rsid w:val="1A2364A1"/>
    <w:rsid w:val="1A2C794C"/>
    <w:rsid w:val="1A302DBB"/>
    <w:rsid w:val="1A365F00"/>
    <w:rsid w:val="1A3D75B8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7F50E7"/>
    <w:rsid w:val="1A813E2C"/>
    <w:rsid w:val="1A8506F7"/>
    <w:rsid w:val="1A862267"/>
    <w:rsid w:val="1A8F2FDB"/>
    <w:rsid w:val="1A960E81"/>
    <w:rsid w:val="1A972C69"/>
    <w:rsid w:val="1A9A0C93"/>
    <w:rsid w:val="1A9A12C1"/>
    <w:rsid w:val="1AA06663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B184B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466C13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85001"/>
    <w:rsid w:val="1BCA7505"/>
    <w:rsid w:val="1BD91032"/>
    <w:rsid w:val="1BDB55E4"/>
    <w:rsid w:val="1BDD2FB0"/>
    <w:rsid w:val="1BDF024C"/>
    <w:rsid w:val="1BEA1E6C"/>
    <w:rsid w:val="1BEE4EC9"/>
    <w:rsid w:val="1BEF7D4B"/>
    <w:rsid w:val="1BF60052"/>
    <w:rsid w:val="1BF706ED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80B1A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C629E"/>
    <w:rsid w:val="1CAD2752"/>
    <w:rsid w:val="1CB702E9"/>
    <w:rsid w:val="1CBA5B32"/>
    <w:rsid w:val="1CBC16E4"/>
    <w:rsid w:val="1CBE0F85"/>
    <w:rsid w:val="1CBE5026"/>
    <w:rsid w:val="1CC1651E"/>
    <w:rsid w:val="1CC34B2B"/>
    <w:rsid w:val="1CCB24F8"/>
    <w:rsid w:val="1CCD6D74"/>
    <w:rsid w:val="1CD363DF"/>
    <w:rsid w:val="1CD8702E"/>
    <w:rsid w:val="1CD97139"/>
    <w:rsid w:val="1CE12B9F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C33A3"/>
    <w:rsid w:val="1D1D6A68"/>
    <w:rsid w:val="1D1F1D0C"/>
    <w:rsid w:val="1D2054C4"/>
    <w:rsid w:val="1D24658B"/>
    <w:rsid w:val="1D2E77E8"/>
    <w:rsid w:val="1D2F07BE"/>
    <w:rsid w:val="1D3A13E4"/>
    <w:rsid w:val="1D457CE9"/>
    <w:rsid w:val="1D4969F4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5565E"/>
    <w:rsid w:val="1D7877C5"/>
    <w:rsid w:val="1D7C6E19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835A9"/>
    <w:rsid w:val="1DC254A8"/>
    <w:rsid w:val="1DC603E1"/>
    <w:rsid w:val="1DD87513"/>
    <w:rsid w:val="1DEC45ED"/>
    <w:rsid w:val="1DF2745E"/>
    <w:rsid w:val="1DF71982"/>
    <w:rsid w:val="1DF8498F"/>
    <w:rsid w:val="1E02615D"/>
    <w:rsid w:val="1E093D7D"/>
    <w:rsid w:val="1E0A59ED"/>
    <w:rsid w:val="1E143B97"/>
    <w:rsid w:val="1E183872"/>
    <w:rsid w:val="1E1D7E95"/>
    <w:rsid w:val="1E201A27"/>
    <w:rsid w:val="1E217E27"/>
    <w:rsid w:val="1E224747"/>
    <w:rsid w:val="1E2B2F2B"/>
    <w:rsid w:val="1E304B88"/>
    <w:rsid w:val="1E377B48"/>
    <w:rsid w:val="1E3E02E7"/>
    <w:rsid w:val="1E4A4DAB"/>
    <w:rsid w:val="1E556E6E"/>
    <w:rsid w:val="1E6703B7"/>
    <w:rsid w:val="1E680B85"/>
    <w:rsid w:val="1E6B2336"/>
    <w:rsid w:val="1E712925"/>
    <w:rsid w:val="1E767CF5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F0D14F3"/>
    <w:rsid w:val="1F0E3B92"/>
    <w:rsid w:val="1F120D07"/>
    <w:rsid w:val="1F141EF2"/>
    <w:rsid w:val="1F1B0E06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5554F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A12A08"/>
    <w:rsid w:val="1FA732AF"/>
    <w:rsid w:val="1FA82FF9"/>
    <w:rsid w:val="1FAC192E"/>
    <w:rsid w:val="1FAD796D"/>
    <w:rsid w:val="1FB01266"/>
    <w:rsid w:val="1FB260BE"/>
    <w:rsid w:val="1FB34CAE"/>
    <w:rsid w:val="1FB50459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C97E84"/>
    <w:rsid w:val="1FD35404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004BA"/>
    <w:rsid w:val="20350A1F"/>
    <w:rsid w:val="203B1416"/>
    <w:rsid w:val="203C2005"/>
    <w:rsid w:val="20420995"/>
    <w:rsid w:val="20447B3E"/>
    <w:rsid w:val="204619A3"/>
    <w:rsid w:val="204D7AED"/>
    <w:rsid w:val="204F595B"/>
    <w:rsid w:val="20532924"/>
    <w:rsid w:val="20533D65"/>
    <w:rsid w:val="205A627C"/>
    <w:rsid w:val="205C4AF1"/>
    <w:rsid w:val="206301A7"/>
    <w:rsid w:val="20642E89"/>
    <w:rsid w:val="2067334B"/>
    <w:rsid w:val="206F7CD5"/>
    <w:rsid w:val="207778B9"/>
    <w:rsid w:val="207A2037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0161D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7289C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53D89"/>
    <w:rsid w:val="21065641"/>
    <w:rsid w:val="210D2CDA"/>
    <w:rsid w:val="21140B1B"/>
    <w:rsid w:val="21150BAB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4141D"/>
    <w:rsid w:val="214B1974"/>
    <w:rsid w:val="214F4863"/>
    <w:rsid w:val="21504A40"/>
    <w:rsid w:val="215522BF"/>
    <w:rsid w:val="215F7E39"/>
    <w:rsid w:val="2163647D"/>
    <w:rsid w:val="216C54DE"/>
    <w:rsid w:val="216E4095"/>
    <w:rsid w:val="216E4553"/>
    <w:rsid w:val="217106CC"/>
    <w:rsid w:val="21741E6D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6021C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5D726E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553C9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92A8B"/>
    <w:rsid w:val="22BA2D5C"/>
    <w:rsid w:val="22BA6F2B"/>
    <w:rsid w:val="22BC7DF2"/>
    <w:rsid w:val="22BD19A6"/>
    <w:rsid w:val="22BD504B"/>
    <w:rsid w:val="22D41540"/>
    <w:rsid w:val="22D61781"/>
    <w:rsid w:val="22E30977"/>
    <w:rsid w:val="22E30F99"/>
    <w:rsid w:val="22E51E43"/>
    <w:rsid w:val="22E95A8D"/>
    <w:rsid w:val="22EF5453"/>
    <w:rsid w:val="22F017B2"/>
    <w:rsid w:val="22F03169"/>
    <w:rsid w:val="22F7088E"/>
    <w:rsid w:val="22F97E5B"/>
    <w:rsid w:val="22FA647A"/>
    <w:rsid w:val="22FB21DC"/>
    <w:rsid w:val="23003817"/>
    <w:rsid w:val="23022B06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92FE4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22C3C"/>
    <w:rsid w:val="23E3610D"/>
    <w:rsid w:val="23E52298"/>
    <w:rsid w:val="23E94462"/>
    <w:rsid w:val="23F06611"/>
    <w:rsid w:val="23F46EA8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1528D"/>
    <w:rsid w:val="2446648F"/>
    <w:rsid w:val="244B2AFB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57318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87F5C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DA355D"/>
    <w:rsid w:val="24E57853"/>
    <w:rsid w:val="24E77BE6"/>
    <w:rsid w:val="24F17428"/>
    <w:rsid w:val="24F24750"/>
    <w:rsid w:val="24F938F3"/>
    <w:rsid w:val="24F94BF2"/>
    <w:rsid w:val="250253B9"/>
    <w:rsid w:val="250C5C6A"/>
    <w:rsid w:val="25165BAC"/>
    <w:rsid w:val="2517098B"/>
    <w:rsid w:val="25176627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224B3"/>
    <w:rsid w:val="25584ADE"/>
    <w:rsid w:val="255A3DDD"/>
    <w:rsid w:val="255E0BEA"/>
    <w:rsid w:val="25627A70"/>
    <w:rsid w:val="256343AC"/>
    <w:rsid w:val="25645072"/>
    <w:rsid w:val="25675495"/>
    <w:rsid w:val="256777BF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C0E91"/>
    <w:rsid w:val="25E156B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217848"/>
    <w:rsid w:val="262218B2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B1FB8"/>
    <w:rsid w:val="26712A32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AD7047"/>
    <w:rsid w:val="26B31383"/>
    <w:rsid w:val="26B9766D"/>
    <w:rsid w:val="26BA59F2"/>
    <w:rsid w:val="26BD1ECD"/>
    <w:rsid w:val="26C36DE5"/>
    <w:rsid w:val="26C81E72"/>
    <w:rsid w:val="26C868EA"/>
    <w:rsid w:val="26C9404D"/>
    <w:rsid w:val="26CD53A8"/>
    <w:rsid w:val="26D323BB"/>
    <w:rsid w:val="26D45590"/>
    <w:rsid w:val="26DB67F4"/>
    <w:rsid w:val="26E53AE2"/>
    <w:rsid w:val="26E706E3"/>
    <w:rsid w:val="26EB2849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21C7A"/>
    <w:rsid w:val="27625732"/>
    <w:rsid w:val="276320D7"/>
    <w:rsid w:val="276F3D3A"/>
    <w:rsid w:val="27711B2C"/>
    <w:rsid w:val="27744B4E"/>
    <w:rsid w:val="2778684B"/>
    <w:rsid w:val="277A5E6A"/>
    <w:rsid w:val="277E547B"/>
    <w:rsid w:val="278A6416"/>
    <w:rsid w:val="279408D2"/>
    <w:rsid w:val="279A2ED3"/>
    <w:rsid w:val="27A23025"/>
    <w:rsid w:val="27A46397"/>
    <w:rsid w:val="27A8729F"/>
    <w:rsid w:val="27B02558"/>
    <w:rsid w:val="27B027C6"/>
    <w:rsid w:val="27B03EC1"/>
    <w:rsid w:val="27B72C5F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5725E"/>
    <w:rsid w:val="283832F0"/>
    <w:rsid w:val="283A1E3E"/>
    <w:rsid w:val="283F0B9A"/>
    <w:rsid w:val="284543A1"/>
    <w:rsid w:val="284716F2"/>
    <w:rsid w:val="28506F1C"/>
    <w:rsid w:val="285465E8"/>
    <w:rsid w:val="28553E1D"/>
    <w:rsid w:val="2859475D"/>
    <w:rsid w:val="2866568E"/>
    <w:rsid w:val="28693318"/>
    <w:rsid w:val="286B3B61"/>
    <w:rsid w:val="286C6B63"/>
    <w:rsid w:val="286D43F4"/>
    <w:rsid w:val="286F5A89"/>
    <w:rsid w:val="28754C0A"/>
    <w:rsid w:val="28765DD5"/>
    <w:rsid w:val="28821314"/>
    <w:rsid w:val="2891501A"/>
    <w:rsid w:val="28937E6D"/>
    <w:rsid w:val="289575D6"/>
    <w:rsid w:val="289C154A"/>
    <w:rsid w:val="28A378EA"/>
    <w:rsid w:val="28A66523"/>
    <w:rsid w:val="28AB4F28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41620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6865F6"/>
    <w:rsid w:val="296B20A7"/>
    <w:rsid w:val="297D1A8B"/>
    <w:rsid w:val="298C22CD"/>
    <w:rsid w:val="29981CF5"/>
    <w:rsid w:val="299C6B98"/>
    <w:rsid w:val="29A4634A"/>
    <w:rsid w:val="29A84DD1"/>
    <w:rsid w:val="29A95FC5"/>
    <w:rsid w:val="29AA2390"/>
    <w:rsid w:val="29AA3349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B6665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84057"/>
    <w:rsid w:val="2B19210F"/>
    <w:rsid w:val="2B1D6F4B"/>
    <w:rsid w:val="2B230331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23516"/>
    <w:rsid w:val="2B662258"/>
    <w:rsid w:val="2B686C09"/>
    <w:rsid w:val="2B795BD8"/>
    <w:rsid w:val="2B8311DA"/>
    <w:rsid w:val="2B833F8F"/>
    <w:rsid w:val="2B8759DF"/>
    <w:rsid w:val="2B8B34AB"/>
    <w:rsid w:val="2B914C5E"/>
    <w:rsid w:val="2BA252E6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D01C8D"/>
    <w:rsid w:val="2BD67F06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5375B"/>
    <w:rsid w:val="2C274174"/>
    <w:rsid w:val="2C2F1705"/>
    <w:rsid w:val="2C31232B"/>
    <w:rsid w:val="2C3147DC"/>
    <w:rsid w:val="2C395B9E"/>
    <w:rsid w:val="2C3B4053"/>
    <w:rsid w:val="2C3E67F9"/>
    <w:rsid w:val="2C416890"/>
    <w:rsid w:val="2C416E6F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720A9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390C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945A4"/>
    <w:rsid w:val="2CFD5C64"/>
    <w:rsid w:val="2D0128E8"/>
    <w:rsid w:val="2D0450C7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621C05"/>
    <w:rsid w:val="2D6A3C90"/>
    <w:rsid w:val="2D726428"/>
    <w:rsid w:val="2D770975"/>
    <w:rsid w:val="2D7A06F1"/>
    <w:rsid w:val="2D8151A4"/>
    <w:rsid w:val="2DA02E9C"/>
    <w:rsid w:val="2DAC4521"/>
    <w:rsid w:val="2DB77121"/>
    <w:rsid w:val="2DBB1852"/>
    <w:rsid w:val="2DBF0C3E"/>
    <w:rsid w:val="2DBF1601"/>
    <w:rsid w:val="2DBF44A4"/>
    <w:rsid w:val="2DBF4C3A"/>
    <w:rsid w:val="2DC3265B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23C26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A3030"/>
    <w:rsid w:val="2E3C084B"/>
    <w:rsid w:val="2E3F16E2"/>
    <w:rsid w:val="2E46069F"/>
    <w:rsid w:val="2E4B21B3"/>
    <w:rsid w:val="2E504076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53FD2"/>
    <w:rsid w:val="2FB91323"/>
    <w:rsid w:val="2FC6643E"/>
    <w:rsid w:val="2FCA0967"/>
    <w:rsid w:val="2FCE6A6F"/>
    <w:rsid w:val="2FD6133F"/>
    <w:rsid w:val="2FD7115C"/>
    <w:rsid w:val="2FD84674"/>
    <w:rsid w:val="2FDB17E1"/>
    <w:rsid w:val="2FDE51CA"/>
    <w:rsid w:val="2FE20568"/>
    <w:rsid w:val="2FE37171"/>
    <w:rsid w:val="2FE7659F"/>
    <w:rsid w:val="2FF117AD"/>
    <w:rsid w:val="2FF17999"/>
    <w:rsid w:val="2FF335AC"/>
    <w:rsid w:val="2FF40BAE"/>
    <w:rsid w:val="2FF62C31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75563"/>
    <w:rsid w:val="30AE56DC"/>
    <w:rsid w:val="30B7307E"/>
    <w:rsid w:val="30BB5407"/>
    <w:rsid w:val="30BF034E"/>
    <w:rsid w:val="30C21A0E"/>
    <w:rsid w:val="30C45386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0FE2DDD"/>
    <w:rsid w:val="310F0CAB"/>
    <w:rsid w:val="31154308"/>
    <w:rsid w:val="31197ABC"/>
    <w:rsid w:val="311D5B14"/>
    <w:rsid w:val="31243A63"/>
    <w:rsid w:val="312723F9"/>
    <w:rsid w:val="312D0545"/>
    <w:rsid w:val="312D1F98"/>
    <w:rsid w:val="3136546A"/>
    <w:rsid w:val="313A5584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BB1182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7AEE"/>
    <w:rsid w:val="31FB60C5"/>
    <w:rsid w:val="32016F71"/>
    <w:rsid w:val="32021A78"/>
    <w:rsid w:val="3209100C"/>
    <w:rsid w:val="321E250B"/>
    <w:rsid w:val="32226597"/>
    <w:rsid w:val="322A5516"/>
    <w:rsid w:val="322B6C88"/>
    <w:rsid w:val="322C6DC4"/>
    <w:rsid w:val="3238698E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00519"/>
    <w:rsid w:val="3272101B"/>
    <w:rsid w:val="32722131"/>
    <w:rsid w:val="327A3DD6"/>
    <w:rsid w:val="327E6AD8"/>
    <w:rsid w:val="328301EA"/>
    <w:rsid w:val="32864FED"/>
    <w:rsid w:val="32926F1E"/>
    <w:rsid w:val="32946A84"/>
    <w:rsid w:val="329747D6"/>
    <w:rsid w:val="329B3044"/>
    <w:rsid w:val="32A570E5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1E5DBA"/>
    <w:rsid w:val="33222F7E"/>
    <w:rsid w:val="33252813"/>
    <w:rsid w:val="33362AD0"/>
    <w:rsid w:val="333A0536"/>
    <w:rsid w:val="333E0FE1"/>
    <w:rsid w:val="333F4C47"/>
    <w:rsid w:val="333F6941"/>
    <w:rsid w:val="33444CAD"/>
    <w:rsid w:val="334D7767"/>
    <w:rsid w:val="33546645"/>
    <w:rsid w:val="33610DDA"/>
    <w:rsid w:val="3362171F"/>
    <w:rsid w:val="3366319E"/>
    <w:rsid w:val="336A11D9"/>
    <w:rsid w:val="336C2B69"/>
    <w:rsid w:val="336D2A73"/>
    <w:rsid w:val="336F5120"/>
    <w:rsid w:val="337009B5"/>
    <w:rsid w:val="337333AD"/>
    <w:rsid w:val="33767D1F"/>
    <w:rsid w:val="337E36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A42C7A"/>
    <w:rsid w:val="33B52233"/>
    <w:rsid w:val="33B70359"/>
    <w:rsid w:val="33BA1B32"/>
    <w:rsid w:val="33BE01F6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63322"/>
    <w:rsid w:val="34885DB3"/>
    <w:rsid w:val="348D003D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56285"/>
    <w:rsid w:val="34C800BD"/>
    <w:rsid w:val="34C936CD"/>
    <w:rsid w:val="34CC1DC7"/>
    <w:rsid w:val="34CD15EB"/>
    <w:rsid w:val="34D06958"/>
    <w:rsid w:val="34D47C8A"/>
    <w:rsid w:val="34D874E5"/>
    <w:rsid w:val="34DB0CAC"/>
    <w:rsid w:val="34DD3DF9"/>
    <w:rsid w:val="34E972FC"/>
    <w:rsid w:val="34F83EF3"/>
    <w:rsid w:val="34F90010"/>
    <w:rsid w:val="34F953E0"/>
    <w:rsid w:val="34FB3AF7"/>
    <w:rsid w:val="34FF2166"/>
    <w:rsid w:val="3503286C"/>
    <w:rsid w:val="350A773D"/>
    <w:rsid w:val="350B69C5"/>
    <w:rsid w:val="350D514D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8497A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77D24"/>
    <w:rsid w:val="35C154C0"/>
    <w:rsid w:val="35C7584B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602050E"/>
    <w:rsid w:val="36077B5A"/>
    <w:rsid w:val="36101A49"/>
    <w:rsid w:val="36163688"/>
    <w:rsid w:val="361A2F27"/>
    <w:rsid w:val="361D78CD"/>
    <w:rsid w:val="3624711B"/>
    <w:rsid w:val="36265F04"/>
    <w:rsid w:val="36266913"/>
    <w:rsid w:val="362952D6"/>
    <w:rsid w:val="36297754"/>
    <w:rsid w:val="362E3970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E44B4"/>
    <w:rsid w:val="36A312B2"/>
    <w:rsid w:val="36A35C4C"/>
    <w:rsid w:val="36A5021A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CD7CBA"/>
    <w:rsid w:val="36D009E5"/>
    <w:rsid w:val="36D27C18"/>
    <w:rsid w:val="36D512A9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902E0"/>
    <w:rsid w:val="37002C93"/>
    <w:rsid w:val="37021B28"/>
    <w:rsid w:val="37086DBC"/>
    <w:rsid w:val="370974B4"/>
    <w:rsid w:val="370D0F30"/>
    <w:rsid w:val="37126487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D402E"/>
    <w:rsid w:val="375D4473"/>
    <w:rsid w:val="37615F3C"/>
    <w:rsid w:val="37663E25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A0451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24D22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07973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72A6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E11AA1"/>
    <w:rsid w:val="38E45926"/>
    <w:rsid w:val="38E46191"/>
    <w:rsid w:val="38E95E5D"/>
    <w:rsid w:val="38EB7945"/>
    <w:rsid w:val="38EC260C"/>
    <w:rsid w:val="38EF0DB7"/>
    <w:rsid w:val="38F50C85"/>
    <w:rsid w:val="390417CF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00691"/>
    <w:rsid w:val="3952190F"/>
    <w:rsid w:val="39541117"/>
    <w:rsid w:val="395753F2"/>
    <w:rsid w:val="395771BA"/>
    <w:rsid w:val="395811AF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3075A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4C7B97"/>
    <w:rsid w:val="3A543180"/>
    <w:rsid w:val="3A616CAD"/>
    <w:rsid w:val="3A711C68"/>
    <w:rsid w:val="3A7927E8"/>
    <w:rsid w:val="3A796E46"/>
    <w:rsid w:val="3A7C159F"/>
    <w:rsid w:val="3A7C2CDA"/>
    <w:rsid w:val="3A81194F"/>
    <w:rsid w:val="3A8B3C77"/>
    <w:rsid w:val="3A907B14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04B53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53F43"/>
    <w:rsid w:val="3B7B1D0B"/>
    <w:rsid w:val="3B7B3C57"/>
    <w:rsid w:val="3B850B78"/>
    <w:rsid w:val="3B86470F"/>
    <w:rsid w:val="3B873119"/>
    <w:rsid w:val="3B91439F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BE5671"/>
    <w:rsid w:val="3BD039A1"/>
    <w:rsid w:val="3BD16A31"/>
    <w:rsid w:val="3BD40BDF"/>
    <w:rsid w:val="3BD74E98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363B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65F23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B1342"/>
    <w:rsid w:val="3C7E65EC"/>
    <w:rsid w:val="3C812838"/>
    <w:rsid w:val="3C826AA5"/>
    <w:rsid w:val="3C8555A2"/>
    <w:rsid w:val="3C867450"/>
    <w:rsid w:val="3C915B7E"/>
    <w:rsid w:val="3C971009"/>
    <w:rsid w:val="3C9D34AC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4098"/>
    <w:rsid w:val="3CC26B63"/>
    <w:rsid w:val="3CC42B41"/>
    <w:rsid w:val="3CC71C25"/>
    <w:rsid w:val="3CCC4D4D"/>
    <w:rsid w:val="3CCD7DE2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190944"/>
    <w:rsid w:val="3D1A758B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AA1B3A"/>
    <w:rsid w:val="3DB17297"/>
    <w:rsid w:val="3DBB6C89"/>
    <w:rsid w:val="3DCD6921"/>
    <w:rsid w:val="3DCE2BD5"/>
    <w:rsid w:val="3DD16176"/>
    <w:rsid w:val="3DD67156"/>
    <w:rsid w:val="3DD745F2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028C5"/>
    <w:rsid w:val="3DF94D6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76233"/>
    <w:rsid w:val="3E3C5F3C"/>
    <w:rsid w:val="3E3E306A"/>
    <w:rsid w:val="3E3F2CA0"/>
    <w:rsid w:val="3E454B0D"/>
    <w:rsid w:val="3E463CA5"/>
    <w:rsid w:val="3E46739D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53E3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824AB"/>
    <w:rsid w:val="3EAB1E08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824C2"/>
    <w:rsid w:val="3EC9080A"/>
    <w:rsid w:val="3ECC4869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5A4F9D"/>
    <w:rsid w:val="3F5C38C5"/>
    <w:rsid w:val="3F673021"/>
    <w:rsid w:val="3F6B3632"/>
    <w:rsid w:val="3F742249"/>
    <w:rsid w:val="3F776E0A"/>
    <w:rsid w:val="3F8978E2"/>
    <w:rsid w:val="3F940D9B"/>
    <w:rsid w:val="3F952814"/>
    <w:rsid w:val="3F956B94"/>
    <w:rsid w:val="3F9C0821"/>
    <w:rsid w:val="3F9C213C"/>
    <w:rsid w:val="3FA113C4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F604C"/>
    <w:rsid w:val="3FD210AC"/>
    <w:rsid w:val="3FD53CFE"/>
    <w:rsid w:val="3FD9316A"/>
    <w:rsid w:val="3FE1096B"/>
    <w:rsid w:val="3FE210C1"/>
    <w:rsid w:val="3FE417DA"/>
    <w:rsid w:val="3FEB1C22"/>
    <w:rsid w:val="3FEE2117"/>
    <w:rsid w:val="3FFA58A6"/>
    <w:rsid w:val="3FFA5C63"/>
    <w:rsid w:val="40073561"/>
    <w:rsid w:val="400A1CFC"/>
    <w:rsid w:val="401D6DEE"/>
    <w:rsid w:val="401F7AF6"/>
    <w:rsid w:val="40201634"/>
    <w:rsid w:val="402079EB"/>
    <w:rsid w:val="40211B76"/>
    <w:rsid w:val="402C52D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F7DEB"/>
    <w:rsid w:val="40572DA6"/>
    <w:rsid w:val="405A424E"/>
    <w:rsid w:val="406D461C"/>
    <w:rsid w:val="406F7D87"/>
    <w:rsid w:val="407441C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D3961"/>
    <w:rsid w:val="40CD7BD8"/>
    <w:rsid w:val="40CE24AF"/>
    <w:rsid w:val="40D022F1"/>
    <w:rsid w:val="40D0423C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152FD4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95305"/>
    <w:rsid w:val="418B26ED"/>
    <w:rsid w:val="41931531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E70652"/>
    <w:rsid w:val="41F04C42"/>
    <w:rsid w:val="41F07014"/>
    <w:rsid w:val="41F24303"/>
    <w:rsid w:val="41F52080"/>
    <w:rsid w:val="41F94D40"/>
    <w:rsid w:val="41FB53E3"/>
    <w:rsid w:val="41FD1048"/>
    <w:rsid w:val="42001B5D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B2A93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85992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B0C49"/>
    <w:rsid w:val="436C40C2"/>
    <w:rsid w:val="437D6585"/>
    <w:rsid w:val="438042AD"/>
    <w:rsid w:val="43837C39"/>
    <w:rsid w:val="43853F53"/>
    <w:rsid w:val="438B6310"/>
    <w:rsid w:val="43921644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3CE7"/>
    <w:rsid w:val="44907237"/>
    <w:rsid w:val="449510AA"/>
    <w:rsid w:val="4499566C"/>
    <w:rsid w:val="449D7968"/>
    <w:rsid w:val="44AA6690"/>
    <w:rsid w:val="44AC7B53"/>
    <w:rsid w:val="44AD2A20"/>
    <w:rsid w:val="44B1082D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D012B4"/>
    <w:rsid w:val="44D31B1E"/>
    <w:rsid w:val="44DE6732"/>
    <w:rsid w:val="44DF6F1B"/>
    <w:rsid w:val="44E54BDC"/>
    <w:rsid w:val="44E92DF3"/>
    <w:rsid w:val="44F82D0E"/>
    <w:rsid w:val="44FF7037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7533B"/>
    <w:rsid w:val="45AA0217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56B2C"/>
    <w:rsid w:val="460D3781"/>
    <w:rsid w:val="461B7F64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C24BB0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49D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5F5D85"/>
    <w:rsid w:val="4864535D"/>
    <w:rsid w:val="48664A02"/>
    <w:rsid w:val="487141DB"/>
    <w:rsid w:val="48740F16"/>
    <w:rsid w:val="48747A97"/>
    <w:rsid w:val="487572A2"/>
    <w:rsid w:val="487A2A25"/>
    <w:rsid w:val="487C0397"/>
    <w:rsid w:val="48850976"/>
    <w:rsid w:val="488C5FA3"/>
    <w:rsid w:val="488D22FD"/>
    <w:rsid w:val="488E25F1"/>
    <w:rsid w:val="48942964"/>
    <w:rsid w:val="489B3E72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C218B"/>
    <w:rsid w:val="48EA0E66"/>
    <w:rsid w:val="48F04BA1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870F5"/>
    <w:rsid w:val="495B528B"/>
    <w:rsid w:val="495C3370"/>
    <w:rsid w:val="49604C59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B578B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F7DBB"/>
    <w:rsid w:val="49F53DE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1144E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84236"/>
    <w:rsid w:val="4A9C6332"/>
    <w:rsid w:val="4AA4318E"/>
    <w:rsid w:val="4AA456B8"/>
    <w:rsid w:val="4AA75186"/>
    <w:rsid w:val="4AAF1B3A"/>
    <w:rsid w:val="4AB01D3D"/>
    <w:rsid w:val="4AB113DF"/>
    <w:rsid w:val="4AB60988"/>
    <w:rsid w:val="4AB75FB2"/>
    <w:rsid w:val="4ABB3CDE"/>
    <w:rsid w:val="4AC36436"/>
    <w:rsid w:val="4AC41CC1"/>
    <w:rsid w:val="4AC4256B"/>
    <w:rsid w:val="4AC66331"/>
    <w:rsid w:val="4AC860DD"/>
    <w:rsid w:val="4AD162A8"/>
    <w:rsid w:val="4AD25C89"/>
    <w:rsid w:val="4AD768C6"/>
    <w:rsid w:val="4AD82D04"/>
    <w:rsid w:val="4ADE0BED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75D91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83C6A"/>
    <w:rsid w:val="4B6B2DB9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46644"/>
    <w:rsid w:val="4BB548C0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55A41"/>
    <w:rsid w:val="4C16297D"/>
    <w:rsid w:val="4C170C9D"/>
    <w:rsid w:val="4C1830D1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E445B"/>
    <w:rsid w:val="4C5F0B5D"/>
    <w:rsid w:val="4C606F33"/>
    <w:rsid w:val="4C6426ED"/>
    <w:rsid w:val="4C64471A"/>
    <w:rsid w:val="4C6C2FE2"/>
    <w:rsid w:val="4C6D5BD4"/>
    <w:rsid w:val="4C6F6529"/>
    <w:rsid w:val="4C774BF8"/>
    <w:rsid w:val="4C77619E"/>
    <w:rsid w:val="4C860543"/>
    <w:rsid w:val="4C8740CC"/>
    <w:rsid w:val="4C8E48D8"/>
    <w:rsid w:val="4C9538F4"/>
    <w:rsid w:val="4C974009"/>
    <w:rsid w:val="4C987412"/>
    <w:rsid w:val="4C9D4CBE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57A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2630C"/>
    <w:rsid w:val="4D063B0D"/>
    <w:rsid w:val="4D0F1680"/>
    <w:rsid w:val="4D0F52FA"/>
    <w:rsid w:val="4D1D6CA0"/>
    <w:rsid w:val="4D2609C6"/>
    <w:rsid w:val="4D2A2C09"/>
    <w:rsid w:val="4D2B2E28"/>
    <w:rsid w:val="4D2F5C2A"/>
    <w:rsid w:val="4D33448A"/>
    <w:rsid w:val="4D3E3476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D11C1"/>
    <w:rsid w:val="4D922BF5"/>
    <w:rsid w:val="4D9B5A29"/>
    <w:rsid w:val="4DA53BC8"/>
    <w:rsid w:val="4DA72415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81348"/>
    <w:rsid w:val="4EA9172F"/>
    <w:rsid w:val="4EAC241A"/>
    <w:rsid w:val="4EB67945"/>
    <w:rsid w:val="4EC420B9"/>
    <w:rsid w:val="4EC91E2C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2D21"/>
    <w:rsid w:val="4EFA68DB"/>
    <w:rsid w:val="4EFE4EC2"/>
    <w:rsid w:val="4EFF3444"/>
    <w:rsid w:val="4F037BFA"/>
    <w:rsid w:val="4F0441E5"/>
    <w:rsid w:val="4F0736E2"/>
    <w:rsid w:val="4F0F1D99"/>
    <w:rsid w:val="4F155F27"/>
    <w:rsid w:val="4F16131E"/>
    <w:rsid w:val="4F181305"/>
    <w:rsid w:val="4F1A238F"/>
    <w:rsid w:val="4F1D1400"/>
    <w:rsid w:val="4F1D1653"/>
    <w:rsid w:val="4F25535C"/>
    <w:rsid w:val="4F2C365D"/>
    <w:rsid w:val="4F301FFB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9000F4"/>
    <w:rsid w:val="4F942C16"/>
    <w:rsid w:val="4F983E33"/>
    <w:rsid w:val="4F9B5328"/>
    <w:rsid w:val="4FAB2D3A"/>
    <w:rsid w:val="4FAB3627"/>
    <w:rsid w:val="4FAB7893"/>
    <w:rsid w:val="4FAC38F8"/>
    <w:rsid w:val="4FB204D9"/>
    <w:rsid w:val="4FB40C2C"/>
    <w:rsid w:val="4FB600E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9569C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6A05E9"/>
    <w:rsid w:val="50752AF6"/>
    <w:rsid w:val="50771C00"/>
    <w:rsid w:val="508A668E"/>
    <w:rsid w:val="509A3231"/>
    <w:rsid w:val="509C736A"/>
    <w:rsid w:val="50A27585"/>
    <w:rsid w:val="50A43E2D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34E1"/>
    <w:rsid w:val="50D228CF"/>
    <w:rsid w:val="50D23F25"/>
    <w:rsid w:val="50E63519"/>
    <w:rsid w:val="50ED76FB"/>
    <w:rsid w:val="50F568D9"/>
    <w:rsid w:val="50FD2A03"/>
    <w:rsid w:val="510D4A1E"/>
    <w:rsid w:val="5118204E"/>
    <w:rsid w:val="51184E6D"/>
    <w:rsid w:val="51187610"/>
    <w:rsid w:val="511C491F"/>
    <w:rsid w:val="51234937"/>
    <w:rsid w:val="512B350B"/>
    <w:rsid w:val="513571BD"/>
    <w:rsid w:val="51375EAD"/>
    <w:rsid w:val="51375EB3"/>
    <w:rsid w:val="513853CC"/>
    <w:rsid w:val="51392D77"/>
    <w:rsid w:val="513D483E"/>
    <w:rsid w:val="513F081D"/>
    <w:rsid w:val="514A3498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151A5"/>
    <w:rsid w:val="5179450A"/>
    <w:rsid w:val="51797588"/>
    <w:rsid w:val="517C0CA0"/>
    <w:rsid w:val="517D17DB"/>
    <w:rsid w:val="517F00BC"/>
    <w:rsid w:val="51861BC2"/>
    <w:rsid w:val="5188076F"/>
    <w:rsid w:val="518E0D7A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D42177"/>
    <w:rsid w:val="51D43598"/>
    <w:rsid w:val="51DA51E8"/>
    <w:rsid w:val="51DA5890"/>
    <w:rsid w:val="51E31C77"/>
    <w:rsid w:val="51E90CD5"/>
    <w:rsid w:val="51EE7B3E"/>
    <w:rsid w:val="51F51BD1"/>
    <w:rsid w:val="51F96848"/>
    <w:rsid w:val="51FB40B5"/>
    <w:rsid w:val="52063C95"/>
    <w:rsid w:val="52073487"/>
    <w:rsid w:val="520A7B89"/>
    <w:rsid w:val="520E648E"/>
    <w:rsid w:val="521B775A"/>
    <w:rsid w:val="521C5D43"/>
    <w:rsid w:val="521D7ED7"/>
    <w:rsid w:val="52216835"/>
    <w:rsid w:val="52257DA4"/>
    <w:rsid w:val="52325EE7"/>
    <w:rsid w:val="5239194F"/>
    <w:rsid w:val="524D342E"/>
    <w:rsid w:val="524E54BD"/>
    <w:rsid w:val="524E5F2B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BC0926"/>
    <w:rsid w:val="52CA3D8F"/>
    <w:rsid w:val="52CD21D8"/>
    <w:rsid w:val="52CF0A4A"/>
    <w:rsid w:val="52D17A8E"/>
    <w:rsid w:val="52DA2383"/>
    <w:rsid w:val="52DC66BA"/>
    <w:rsid w:val="52DC7C0E"/>
    <w:rsid w:val="52DD5B35"/>
    <w:rsid w:val="52DE6D3F"/>
    <w:rsid w:val="52DF42EC"/>
    <w:rsid w:val="52E42485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3F465D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40B0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4640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53801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07E3F"/>
    <w:rsid w:val="54A14490"/>
    <w:rsid w:val="54A153FA"/>
    <w:rsid w:val="54A343F4"/>
    <w:rsid w:val="54A36C2B"/>
    <w:rsid w:val="54AB29C5"/>
    <w:rsid w:val="54AB36A1"/>
    <w:rsid w:val="54B171C4"/>
    <w:rsid w:val="54B61DA8"/>
    <w:rsid w:val="54B62C99"/>
    <w:rsid w:val="54BC1CEB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EC2EF8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847FA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AF43C9"/>
    <w:rsid w:val="56B0619F"/>
    <w:rsid w:val="56B16CBD"/>
    <w:rsid w:val="56B3450E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6003D"/>
    <w:rsid w:val="56DA3EBA"/>
    <w:rsid w:val="56DC20EA"/>
    <w:rsid w:val="56DE40C5"/>
    <w:rsid w:val="56E33383"/>
    <w:rsid w:val="56E81DBE"/>
    <w:rsid w:val="56EA65D6"/>
    <w:rsid w:val="56ED5E03"/>
    <w:rsid w:val="56F456C1"/>
    <w:rsid w:val="56FB0134"/>
    <w:rsid w:val="56FC2728"/>
    <w:rsid w:val="570044FC"/>
    <w:rsid w:val="57012351"/>
    <w:rsid w:val="57095761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8483A"/>
    <w:rsid w:val="574B4B12"/>
    <w:rsid w:val="574C616E"/>
    <w:rsid w:val="574F71ED"/>
    <w:rsid w:val="575425F9"/>
    <w:rsid w:val="575430BB"/>
    <w:rsid w:val="575A2017"/>
    <w:rsid w:val="575C5FBB"/>
    <w:rsid w:val="57685F5D"/>
    <w:rsid w:val="57692A18"/>
    <w:rsid w:val="576D6DDF"/>
    <w:rsid w:val="57702374"/>
    <w:rsid w:val="5774694B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5603"/>
    <w:rsid w:val="57BF6387"/>
    <w:rsid w:val="57C77A65"/>
    <w:rsid w:val="57D01AAC"/>
    <w:rsid w:val="57D05855"/>
    <w:rsid w:val="57D1117F"/>
    <w:rsid w:val="57DA0D38"/>
    <w:rsid w:val="57DD4E33"/>
    <w:rsid w:val="57DE0A52"/>
    <w:rsid w:val="57DE3AFC"/>
    <w:rsid w:val="57DF6500"/>
    <w:rsid w:val="57E143B6"/>
    <w:rsid w:val="57E60B9B"/>
    <w:rsid w:val="57E73B61"/>
    <w:rsid w:val="57ED134E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4D1D04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E1E40"/>
    <w:rsid w:val="58B156C4"/>
    <w:rsid w:val="58B47394"/>
    <w:rsid w:val="58B80220"/>
    <w:rsid w:val="58B8443B"/>
    <w:rsid w:val="58B92428"/>
    <w:rsid w:val="58BC4002"/>
    <w:rsid w:val="58C47A68"/>
    <w:rsid w:val="58C6178A"/>
    <w:rsid w:val="58C77385"/>
    <w:rsid w:val="58CF1828"/>
    <w:rsid w:val="58D720A4"/>
    <w:rsid w:val="58DB456A"/>
    <w:rsid w:val="58E2288E"/>
    <w:rsid w:val="58E56245"/>
    <w:rsid w:val="58E909DD"/>
    <w:rsid w:val="58EB1C90"/>
    <w:rsid w:val="58EE536D"/>
    <w:rsid w:val="58F57D12"/>
    <w:rsid w:val="59094784"/>
    <w:rsid w:val="59255E05"/>
    <w:rsid w:val="59267EF0"/>
    <w:rsid w:val="592865AF"/>
    <w:rsid w:val="59287A6A"/>
    <w:rsid w:val="592C2EB2"/>
    <w:rsid w:val="59376E4C"/>
    <w:rsid w:val="59421F7E"/>
    <w:rsid w:val="59424509"/>
    <w:rsid w:val="594935F2"/>
    <w:rsid w:val="594C2750"/>
    <w:rsid w:val="59511A55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9F75D4"/>
    <w:rsid w:val="59A22883"/>
    <w:rsid w:val="59A24ED6"/>
    <w:rsid w:val="59AE5EC5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E11C9B"/>
    <w:rsid w:val="59E143BA"/>
    <w:rsid w:val="59E2737B"/>
    <w:rsid w:val="59EB0D06"/>
    <w:rsid w:val="59F32024"/>
    <w:rsid w:val="59F44D39"/>
    <w:rsid w:val="59F511B7"/>
    <w:rsid w:val="59F92CC7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2211"/>
    <w:rsid w:val="5A6336A1"/>
    <w:rsid w:val="5A65704E"/>
    <w:rsid w:val="5A6B7C88"/>
    <w:rsid w:val="5A6F5AD1"/>
    <w:rsid w:val="5A73612A"/>
    <w:rsid w:val="5A784E1A"/>
    <w:rsid w:val="5A7C1DA4"/>
    <w:rsid w:val="5A7F6F98"/>
    <w:rsid w:val="5A8F76C1"/>
    <w:rsid w:val="5A921A04"/>
    <w:rsid w:val="5A99558C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5010"/>
    <w:rsid w:val="5AC76ACB"/>
    <w:rsid w:val="5AD054B7"/>
    <w:rsid w:val="5AD149C0"/>
    <w:rsid w:val="5AD20D04"/>
    <w:rsid w:val="5AD510F0"/>
    <w:rsid w:val="5AD822B6"/>
    <w:rsid w:val="5AD86DAA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2D2620"/>
    <w:rsid w:val="5B3E0A56"/>
    <w:rsid w:val="5B431363"/>
    <w:rsid w:val="5B432946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766C60"/>
    <w:rsid w:val="5B853B9F"/>
    <w:rsid w:val="5B896F76"/>
    <w:rsid w:val="5B8F287C"/>
    <w:rsid w:val="5B901200"/>
    <w:rsid w:val="5B9319B5"/>
    <w:rsid w:val="5B96407F"/>
    <w:rsid w:val="5B975E5B"/>
    <w:rsid w:val="5B9C0984"/>
    <w:rsid w:val="5B9D5FB0"/>
    <w:rsid w:val="5B9F377A"/>
    <w:rsid w:val="5BA65080"/>
    <w:rsid w:val="5BA76A78"/>
    <w:rsid w:val="5BB214B7"/>
    <w:rsid w:val="5BB424C4"/>
    <w:rsid w:val="5BB576AD"/>
    <w:rsid w:val="5BB6242D"/>
    <w:rsid w:val="5BB65985"/>
    <w:rsid w:val="5BB76EBD"/>
    <w:rsid w:val="5BBE6EBD"/>
    <w:rsid w:val="5BC02787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3A291C"/>
    <w:rsid w:val="5C3B2DCF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F4297"/>
    <w:rsid w:val="5CC43404"/>
    <w:rsid w:val="5CC93DAE"/>
    <w:rsid w:val="5CCF7073"/>
    <w:rsid w:val="5CD31EE3"/>
    <w:rsid w:val="5CE03F3E"/>
    <w:rsid w:val="5CE1654F"/>
    <w:rsid w:val="5CE47CF9"/>
    <w:rsid w:val="5CEB1D70"/>
    <w:rsid w:val="5CF45558"/>
    <w:rsid w:val="5CF70E19"/>
    <w:rsid w:val="5CFE4309"/>
    <w:rsid w:val="5D00730C"/>
    <w:rsid w:val="5D072BC8"/>
    <w:rsid w:val="5D076525"/>
    <w:rsid w:val="5D094AA1"/>
    <w:rsid w:val="5D0A3A75"/>
    <w:rsid w:val="5D0C1CFA"/>
    <w:rsid w:val="5D0C3DB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57219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63A0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50903"/>
    <w:rsid w:val="5E0825B2"/>
    <w:rsid w:val="5E0951B5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44390"/>
    <w:rsid w:val="5E3524E9"/>
    <w:rsid w:val="5E352EB6"/>
    <w:rsid w:val="5E400BF0"/>
    <w:rsid w:val="5E4250B0"/>
    <w:rsid w:val="5E4A3E88"/>
    <w:rsid w:val="5E4E539E"/>
    <w:rsid w:val="5E5B2B5A"/>
    <w:rsid w:val="5E5F0687"/>
    <w:rsid w:val="5E620763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BD2EAA"/>
    <w:rsid w:val="5EC37A1E"/>
    <w:rsid w:val="5EC94A60"/>
    <w:rsid w:val="5ED95EEE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3C1D82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A00A10"/>
    <w:rsid w:val="5FA055A4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1F0D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57D45"/>
    <w:rsid w:val="60FB7A98"/>
    <w:rsid w:val="61027740"/>
    <w:rsid w:val="61034098"/>
    <w:rsid w:val="61067A64"/>
    <w:rsid w:val="61093C77"/>
    <w:rsid w:val="610C7D1D"/>
    <w:rsid w:val="610F0CDA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397D74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C3FE8"/>
    <w:rsid w:val="616E223F"/>
    <w:rsid w:val="61703031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DA0E79"/>
    <w:rsid w:val="61E728F9"/>
    <w:rsid w:val="61F3667F"/>
    <w:rsid w:val="61F43F82"/>
    <w:rsid w:val="61F67369"/>
    <w:rsid w:val="61FB110C"/>
    <w:rsid w:val="61FB56BF"/>
    <w:rsid w:val="620A5B4D"/>
    <w:rsid w:val="620B2B74"/>
    <w:rsid w:val="6210415F"/>
    <w:rsid w:val="62135137"/>
    <w:rsid w:val="62185165"/>
    <w:rsid w:val="621D66D4"/>
    <w:rsid w:val="62202586"/>
    <w:rsid w:val="62220209"/>
    <w:rsid w:val="622D780A"/>
    <w:rsid w:val="622E2CF4"/>
    <w:rsid w:val="622F5ABF"/>
    <w:rsid w:val="623D0C68"/>
    <w:rsid w:val="623F3C2D"/>
    <w:rsid w:val="62460FCD"/>
    <w:rsid w:val="62480FF0"/>
    <w:rsid w:val="62481D61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6C1BC9"/>
    <w:rsid w:val="627301E8"/>
    <w:rsid w:val="627369C7"/>
    <w:rsid w:val="62920187"/>
    <w:rsid w:val="6295194F"/>
    <w:rsid w:val="6299295E"/>
    <w:rsid w:val="629A07BC"/>
    <w:rsid w:val="629D61D1"/>
    <w:rsid w:val="62A24E62"/>
    <w:rsid w:val="62A33CA7"/>
    <w:rsid w:val="62A36C5E"/>
    <w:rsid w:val="62B63055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66E18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7E36"/>
    <w:rsid w:val="63842477"/>
    <w:rsid w:val="638823F9"/>
    <w:rsid w:val="63891BA5"/>
    <w:rsid w:val="638B04D2"/>
    <w:rsid w:val="63912AB2"/>
    <w:rsid w:val="639A118D"/>
    <w:rsid w:val="639B7C08"/>
    <w:rsid w:val="63A13147"/>
    <w:rsid w:val="63A177A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07AD2"/>
    <w:rsid w:val="63D40E51"/>
    <w:rsid w:val="63D52E6F"/>
    <w:rsid w:val="63D85FCA"/>
    <w:rsid w:val="63E263F4"/>
    <w:rsid w:val="63E418C9"/>
    <w:rsid w:val="63F55755"/>
    <w:rsid w:val="63F77BBC"/>
    <w:rsid w:val="63FB6EC6"/>
    <w:rsid w:val="63FD7654"/>
    <w:rsid w:val="640A7217"/>
    <w:rsid w:val="640C2BB6"/>
    <w:rsid w:val="6411454E"/>
    <w:rsid w:val="64225C1C"/>
    <w:rsid w:val="642437E9"/>
    <w:rsid w:val="64340283"/>
    <w:rsid w:val="64340FCD"/>
    <w:rsid w:val="64377182"/>
    <w:rsid w:val="643B7181"/>
    <w:rsid w:val="643E4883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33CC7"/>
    <w:rsid w:val="646A06E2"/>
    <w:rsid w:val="646C4EF1"/>
    <w:rsid w:val="646C4FB8"/>
    <w:rsid w:val="646D2F37"/>
    <w:rsid w:val="64706C6F"/>
    <w:rsid w:val="6471159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C1350"/>
    <w:rsid w:val="64AD4200"/>
    <w:rsid w:val="64AF09FF"/>
    <w:rsid w:val="64B453B1"/>
    <w:rsid w:val="64BE5702"/>
    <w:rsid w:val="64C048B9"/>
    <w:rsid w:val="64C16289"/>
    <w:rsid w:val="64CF05E4"/>
    <w:rsid w:val="64CF1E41"/>
    <w:rsid w:val="64D32645"/>
    <w:rsid w:val="64D81CB8"/>
    <w:rsid w:val="64D93F02"/>
    <w:rsid w:val="64DF1E48"/>
    <w:rsid w:val="64E52880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1E7E36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5E2DA1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8C2DCE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C4177D"/>
    <w:rsid w:val="65D43869"/>
    <w:rsid w:val="65D64BB3"/>
    <w:rsid w:val="65D70270"/>
    <w:rsid w:val="65E91B08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D054E"/>
    <w:rsid w:val="664551B6"/>
    <w:rsid w:val="66460692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358DD"/>
    <w:rsid w:val="668B6CBD"/>
    <w:rsid w:val="66953491"/>
    <w:rsid w:val="66980BF6"/>
    <w:rsid w:val="669C054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12AA5"/>
    <w:rsid w:val="66F569E1"/>
    <w:rsid w:val="66F76034"/>
    <w:rsid w:val="66FD7799"/>
    <w:rsid w:val="66FE15F4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F5C"/>
    <w:rsid w:val="675E5725"/>
    <w:rsid w:val="67617AF0"/>
    <w:rsid w:val="67627B2A"/>
    <w:rsid w:val="6768655A"/>
    <w:rsid w:val="676E1585"/>
    <w:rsid w:val="67775952"/>
    <w:rsid w:val="677C1FA7"/>
    <w:rsid w:val="677E2FA1"/>
    <w:rsid w:val="67825A15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5705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42107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B167E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27EDD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82CA0"/>
    <w:rsid w:val="69D2134C"/>
    <w:rsid w:val="69D5264A"/>
    <w:rsid w:val="69D537ED"/>
    <w:rsid w:val="69DB7BB3"/>
    <w:rsid w:val="69DC3AC1"/>
    <w:rsid w:val="69E6402E"/>
    <w:rsid w:val="69E673F8"/>
    <w:rsid w:val="69EA6C64"/>
    <w:rsid w:val="69EB2120"/>
    <w:rsid w:val="69EE7718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064BF7"/>
    <w:rsid w:val="6A121AB8"/>
    <w:rsid w:val="6A12415B"/>
    <w:rsid w:val="6A152CC8"/>
    <w:rsid w:val="6A172663"/>
    <w:rsid w:val="6A1D05D4"/>
    <w:rsid w:val="6A245089"/>
    <w:rsid w:val="6A25601C"/>
    <w:rsid w:val="6A262E47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25EE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C64C4"/>
    <w:rsid w:val="6AD902D6"/>
    <w:rsid w:val="6AD909E0"/>
    <w:rsid w:val="6ADC49EF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E05E1"/>
    <w:rsid w:val="6B21318E"/>
    <w:rsid w:val="6B227A15"/>
    <w:rsid w:val="6B2833E7"/>
    <w:rsid w:val="6B285741"/>
    <w:rsid w:val="6B2A6098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1739E"/>
    <w:rsid w:val="6B6849C2"/>
    <w:rsid w:val="6B6C560D"/>
    <w:rsid w:val="6B705E52"/>
    <w:rsid w:val="6B735BFD"/>
    <w:rsid w:val="6B785D05"/>
    <w:rsid w:val="6B7F7BD7"/>
    <w:rsid w:val="6B846AF2"/>
    <w:rsid w:val="6B940783"/>
    <w:rsid w:val="6B95396B"/>
    <w:rsid w:val="6BAA2D23"/>
    <w:rsid w:val="6BAC0EF7"/>
    <w:rsid w:val="6BAF0F7A"/>
    <w:rsid w:val="6BB90470"/>
    <w:rsid w:val="6BBB00B1"/>
    <w:rsid w:val="6BBD3E9D"/>
    <w:rsid w:val="6BC03721"/>
    <w:rsid w:val="6BC17B0B"/>
    <w:rsid w:val="6BC43438"/>
    <w:rsid w:val="6BC51A97"/>
    <w:rsid w:val="6BCC01D5"/>
    <w:rsid w:val="6BCF2DCA"/>
    <w:rsid w:val="6BD504D2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2C86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9C4317"/>
    <w:rsid w:val="6CA94419"/>
    <w:rsid w:val="6CB242A2"/>
    <w:rsid w:val="6CB92EE5"/>
    <w:rsid w:val="6CBB719C"/>
    <w:rsid w:val="6CC818AD"/>
    <w:rsid w:val="6CD944B7"/>
    <w:rsid w:val="6CE0612A"/>
    <w:rsid w:val="6CE269D3"/>
    <w:rsid w:val="6CE66441"/>
    <w:rsid w:val="6CEC448A"/>
    <w:rsid w:val="6CED284E"/>
    <w:rsid w:val="6CED3DB2"/>
    <w:rsid w:val="6CF04EB7"/>
    <w:rsid w:val="6CF17872"/>
    <w:rsid w:val="6CF76712"/>
    <w:rsid w:val="6CFD23D1"/>
    <w:rsid w:val="6D0240E7"/>
    <w:rsid w:val="6D033EFD"/>
    <w:rsid w:val="6D0652BF"/>
    <w:rsid w:val="6D0A7734"/>
    <w:rsid w:val="6D0B0E35"/>
    <w:rsid w:val="6D0D6D19"/>
    <w:rsid w:val="6D0D75B0"/>
    <w:rsid w:val="6D273B17"/>
    <w:rsid w:val="6D274676"/>
    <w:rsid w:val="6D2C096D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679C6"/>
    <w:rsid w:val="6D59673E"/>
    <w:rsid w:val="6D5B2AAB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A86A73"/>
    <w:rsid w:val="6DB20233"/>
    <w:rsid w:val="6DB81D13"/>
    <w:rsid w:val="6DC54D30"/>
    <w:rsid w:val="6DC65806"/>
    <w:rsid w:val="6DCA2F8B"/>
    <w:rsid w:val="6DCC63F6"/>
    <w:rsid w:val="6DDF0294"/>
    <w:rsid w:val="6DE805F3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647E8"/>
    <w:rsid w:val="6E376A3A"/>
    <w:rsid w:val="6E3E181B"/>
    <w:rsid w:val="6E3F1C0F"/>
    <w:rsid w:val="6E484191"/>
    <w:rsid w:val="6E4E018F"/>
    <w:rsid w:val="6E4E0EC4"/>
    <w:rsid w:val="6E561494"/>
    <w:rsid w:val="6E56744B"/>
    <w:rsid w:val="6E567CD0"/>
    <w:rsid w:val="6E5C099F"/>
    <w:rsid w:val="6E606342"/>
    <w:rsid w:val="6E606731"/>
    <w:rsid w:val="6E633CB5"/>
    <w:rsid w:val="6E651C83"/>
    <w:rsid w:val="6E6E75D4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075D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044C2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4D0B69"/>
    <w:rsid w:val="6F537FC0"/>
    <w:rsid w:val="6F5E3CAA"/>
    <w:rsid w:val="6F5F4B14"/>
    <w:rsid w:val="6F607895"/>
    <w:rsid w:val="6F61040C"/>
    <w:rsid w:val="6F6776E1"/>
    <w:rsid w:val="6F6D2EDC"/>
    <w:rsid w:val="6F702CF5"/>
    <w:rsid w:val="6F714EFF"/>
    <w:rsid w:val="6F7929D2"/>
    <w:rsid w:val="6F7A0C79"/>
    <w:rsid w:val="6F7E1B78"/>
    <w:rsid w:val="6F967ACA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769"/>
    <w:rsid w:val="6FC0781E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871107"/>
    <w:rsid w:val="70910C43"/>
    <w:rsid w:val="70936BDF"/>
    <w:rsid w:val="70992BBC"/>
    <w:rsid w:val="709E4E34"/>
    <w:rsid w:val="709E640C"/>
    <w:rsid w:val="70A106DA"/>
    <w:rsid w:val="70A156F4"/>
    <w:rsid w:val="70A24763"/>
    <w:rsid w:val="70AC0E63"/>
    <w:rsid w:val="70AD5CCA"/>
    <w:rsid w:val="70AD6555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83292B"/>
    <w:rsid w:val="71890883"/>
    <w:rsid w:val="718B3A9F"/>
    <w:rsid w:val="71936186"/>
    <w:rsid w:val="71984CB3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5E90"/>
    <w:rsid w:val="71C46CB1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C2BE9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455D"/>
    <w:rsid w:val="728F0A31"/>
    <w:rsid w:val="72956B6B"/>
    <w:rsid w:val="729A297B"/>
    <w:rsid w:val="72A13C6B"/>
    <w:rsid w:val="72A310CE"/>
    <w:rsid w:val="72A60BAC"/>
    <w:rsid w:val="72AD212E"/>
    <w:rsid w:val="72AF09AE"/>
    <w:rsid w:val="72B23B41"/>
    <w:rsid w:val="72B307F0"/>
    <w:rsid w:val="72B751B8"/>
    <w:rsid w:val="72BE13CE"/>
    <w:rsid w:val="72BE6371"/>
    <w:rsid w:val="72BF25A6"/>
    <w:rsid w:val="72BF7D5A"/>
    <w:rsid w:val="72C221EC"/>
    <w:rsid w:val="72CE3184"/>
    <w:rsid w:val="72CE7D06"/>
    <w:rsid w:val="72CF40C2"/>
    <w:rsid w:val="72D456A5"/>
    <w:rsid w:val="72E70D52"/>
    <w:rsid w:val="72E85A7E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08249D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40B89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07D6"/>
    <w:rsid w:val="73FF2CB2"/>
    <w:rsid w:val="74001411"/>
    <w:rsid w:val="7401034F"/>
    <w:rsid w:val="7407051F"/>
    <w:rsid w:val="740C0741"/>
    <w:rsid w:val="740E71A7"/>
    <w:rsid w:val="741076D1"/>
    <w:rsid w:val="74115578"/>
    <w:rsid w:val="74141C1A"/>
    <w:rsid w:val="74163CEE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B2FD5"/>
    <w:rsid w:val="746C430C"/>
    <w:rsid w:val="746D6628"/>
    <w:rsid w:val="74712155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F4657"/>
    <w:rsid w:val="74D575AA"/>
    <w:rsid w:val="74D63C4F"/>
    <w:rsid w:val="74D71DDE"/>
    <w:rsid w:val="74D95703"/>
    <w:rsid w:val="74DA7956"/>
    <w:rsid w:val="74E11F86"/>
    <w:rsid w:val="74FB509B"/>
    <w:rsid w:val="74FB6035"/>
    <w:rsid w:val="74FF07F1"/>
    <w:rsid w:val="7501571B"/>
    <w:rsid w:val="7502618E"/>
    <w:rsid w:val="75056699"/>
    <w:rsid w:val="7507587E"/>
    <w:rsid w:val="75086859"/>
    <w:rsid w:val="750934A8"/>
    <w:rsid w:val="750A15E4"/>
    <w:rsid w:val="750C76FA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15DCD"/>
    <w:rsid w:val="75D357A7"/>
    <w:rsid w:val="75DA5FC8"/>
    <w:rsid w:val="75DB08A6"/>
    <w:rsid w:val="75DB5FA1"/>
    <w:rsid w:val="75E1357A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57EC3"/>
    <w:rsid w:val="76587361"/>
    <w:rsid w:val="765F0FBA"/>
    <w:rsid w:val="766314AA"/>
    <w:rsid w:val="76671958"/>
    <w:rsid w:val="76674D6A"/>
    <w:rsid w:val="76690632"/>
    <w:rsid w:val="766E0B9F"/>
    <w:rsid w:val="766F546C"/>
    <w:rsid w:val="767469E2"/>
    <w:rsid w:val="76775F0B"/>
    <w:rsid w:val="767A76A8"/>
    <w:rsid w:val="767E2DAC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CD7B46"/>
    <w:rsid w:val="76CF5DCE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756F"/>
    <w:rsid w:val="770F088C"/>
    <w:rsid w:val="77164C28"/>
    <w:rsid w:val="771865D9"/>
    <w:rsid w:val="77187F65"/>
    <w:rsid w:val="771C46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87254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16819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C7D3E"/>
    <w:rsid w:val="77BD5A24"/>
    <w:rsid w:val="77BE4F12"/>
    <w:rsid w:val="77C2510C"/>
    <w:rsid w:val="77C42326"/>
    <w:rsid w:val="77C833A2"/>
    <w:rsid w:val="77C86879"/>
    <w:rsid w:val="77D21E05"/>
    <w:rsid w:val="77D26B27"/>
    <w:rsid w:val="77E568E3"/>
    <w:rsid w:val="77E746B2"/>
    <w:rsid w:val="77EB5A0F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2466AD"/>
    <w:rsid w:val="782A738E"/>
    <w:rsid w:val="782B4FB4"/>
    <w:rsid w:val="78306028"/>
    <w:rsid w:val="78316382"/>
    <w:rsid w:val="78326BCF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D1993"/>
    <w:rsid w:val="785D73A1"/>
    <w:rsid w:val="785E356A"/>
    <w:rsid w:val="78620E7C"/>
    <w:rsid w:val="78683A2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744F1"/>
    <w:rsid w:val="78B84528"/>
    <w:rsid w:val="78B91C9F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4763"/>
    <w:rsid w:val="7940572D"/>
    <w:rsid w:val="794353F6"/>
    <w:rsid w:val="79442CA1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00A9"/>
    <w:rsid w:val="797951A9"/>
    <w:rsid w:val="797C0892"/>
    <w:rsid w:val="798118A3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F1525"/>
    <w:rsid w:val="7A10389D"/>
    <w:rsid w:val="7A157806"/>
    <w:rsid w:val="7A1F3378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3632"/>
    <w:rsid w:val="7A7D4128"/>
    <w:rsid w:val="7A7E70A2"/>
    <w:rsid w:val="7A8075BA"/>
    <w:rsid w:val="7A820760"/>
    <w:rsid w:val="7A87742E"/>
    <w:rsid w:val="7A9123B7"/>
    <w:rsid w:val="7A935AE2"/>
    <w:rsid w:val="7A9711EE"/>
    <w:rsid w:val="7A9A1B33"/>
    <w:rsid w:val="7A9B74B6"/>
    <w:rsid w:val="7A9C3E5C"/>
    <w:rsid w:val="7A9D1CEF"/>
    <w:rsid w:val="7AA16CBD"/>
    <w:rsid w:val="7AA23B78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50090"/>
    <w:rsid w:val="7B18546A"/>
    <w:rsid w:val="7B1B467F"/>
    <w:rsid w:val="7B1E73DE"/>
    <w:rsid w:val="7B1F59AA"/>
    <w:rsid w:val="7B214978"/>
    <w:rsid w:val="7B391012"/>
    <w:rsid w:val="7B394905"/>
    <w:rsid w:val="7B3E674E"/>
    <w:rsid w:val="7B426E9D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8E3D02"/>
    <w:rsid w:val="7B901B0B"/>
    <w:rsid w:val="7B9422CC"/>
    <w:rsid w:val="7B9E7675"/>
    <w:rsid w:val="7BA0581E"/>
    <w:rsid w:val="7BA22D26"/>
    <w:rsid w:val="7BA521BC"/>
    <w:rsid w:val="7BA53B6F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E6A15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5F4D1F"/>
    <w:rsid w:val="7C602BD0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C3397C"/>
    <w:rsid w:val="7CCA5583"/>
    <w:rsid w:val="7CCE6E72"/>
    <w:rsid w:val="7CCF1812"/>
    <w:rsid w:val="7CD72F9B"/>
    <w:rsid w:val="7CDF394D"/>
    <w:rsid w:val="7CE146B6"/>
    <w:rsid w:val="7CE238A1"/>
    <w:rsid w:val="7CE65C11"/>
    <w:rsid w:val="7CE70935"/>
    <w:rsid w:val="7CE95686"/>
    <w:rsid w:val="7CF31FF6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1F25D4"/>
    <w:rsid w:val="7D292A41"/>
    <w:rsid w:val="7D2A5CCB"/>
    <w:rsid w:val="7D377B94"/>
    <w:rsid w:val="7D401CAA"/>
    <w:rsid w:val="7D4E195B"/>
    <w:rsid w:val="7D515EFA"/>
    <w:rsid w:val="7D5431B0"/>
    <w:rsid w:val="7D552AEA"/>
    <w:rsid w:val="7D635C6D"/>
    <w:rsid w:val="7D64087E"/>
    <w:rsid w:val="7D642C85"/>
    <w:rsid w:val="7D69117D"/>
    <w:rsid w:val="7D696CB2"/>
    <w:rsid w:val="7D6B4608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A65F9"/>
    <w:rsid w:val="7DBE609A"/>
    <w:rsid w:val="7DBF2E7A"/>
    <w:rsid w:val="7DBF4FA6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09C1"/>
    <w:rsid w:val="7E4C7986"/>
    <w:rsid w:val="7E523F24"/>
    <w:rsid w:val="7E570488"/>
    <w:rsid w:val="7E573082"/>
    <w:rsid w:val="7E593C4C"/>
    <w:rsid w:val="7E646894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24F07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5445C"/>
    <w:rsid w:val="7F4A17F6"/>
    <w:rsid w:val="7F536DE1"/>
    <w:rsid w:val="7F6339F7"/>
    <w:rsid w:val="7F7851E2"/>
    <w:rsid w:val="7F7E49B6"/>
    <w:rsid w:val="7F8403DB"/>
    <w:rsid w:val="7F8660CD"/>
    <w:rsid w:val="7F8A2E2C"/>
    <w:rsid w:val="7F963419"/>
    <w:rsid w:val="7F98528E"/>
    <w:rsid w:val="7FA069EC"/>
    <w:rsid w:val="7FA11DE1"/>
    <w:rsid w:val="7FB351E6"/>
    <w:rsid w:val="7FB422D4"/>
    <w:rsid w:val="7FCE5F2D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7">
    <w:name w:val="Tabellengitternetz1"/>
    <w:basedOn w:val="25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24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2024-08-09T12:41:22Z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